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Style w:val="para27"/>
        <w:ind w:left="0"/>
        <w:spacing w:after="0" w:line="240" w:lineRule="auto"/>
        <w:contextualSpacing/>
        <w:jc w:val="both"/>
        <w:rPr>
          <w:b/>
          <w:bCs/>
          <w:caps/>
          <w:color w:val="000000"/>
          <w:sz w:val="32"/>
          <w:szCs w:val="32"/>
        </w:rPr>
      </w:pPr>
      <w:r>
        <w:rPr>
          <w:b/>
          <w:bCs/>
          <w:caps/>
          <w:color w:val="000000"/>
          <w:sz w:val="32"/>
          <w:szCs w:val="32"/>
        </w:rPr>
        <w:t xml:space="preserve">                                                                                                                                                                                                                                                                                                                                                                                                                                                                                                                                                      </w:t>
      </w:r>
    </w:p>
    <w:p>
      <w:pPr>
        <w:pStyle w:val="para27"/>
        <w:ind w:left="0"/>
        <w:spacing w:after="0" w:line="240" w:lineRule="auto"/>
        <w:contextualSpacing/>
        <w:jc w:val="both"/>
        <w:rPr>
          <w:b/>
          <w:bCs/>
          <w:caps/>
          <w:color w:val="000000"/>
          <w:sz w:val="32"/>
          <w:szCs w:val="32"/>
        </w:rPr>
      </w:pPr>
      <w:r>
        <w:rPr>
          <w:b/>
          <w:bCs/>
          <w:caps/>
          <w:color w:val="000000"/>
          <w:sz w:val="32"/>
          <w:szCs w:val="32"/>
        </w:rPr>
      </w:r>
    </w:p>
    <w:p>
      <w:pPr>
        <w:pStyle w:val="para27"/>
        <w:ind w:left="0"/>
        <w:spacing w:after="0" w:line="240" w:lineRule="auto"/>
        <w:contextualSpacing/>
        <w:jc w:val="both"/>
        <w:rPr>
          <w:b/>
          <w:bCs/>
          <w:caps/>
          <w:color w:val="000000"/>
          <w:sz w:val="32"/>
          <w:szCs w:val="32"/>
        </w:rPr>
      </w:pPr>
      <w:r>
        <w:rPr>
          <w:b/>
          <w:bCs/>
          <w:caps/>
          <w:color w:val="000000"/>
          <w:sz w:val="32"/>
          <w:szCs w:val="32"/>
        </w:rPr>
      </w:r>
    </w:p>
    <w:p>
      <w:pPr>
        <w:pStyle w:val="para27"/>
        <w:ind w:left="0"/>
        <w:spacing w:after="0" w:line="240" w:lineRule="auto"/>
        <w:contextualSpacing/>
        <w:jc w:val="both"/>
        <w:rPr>
          <w:b/>
          <w:bCs/>
          <w:caps/>
          <w:color w:val="000000"/>
          <w:sz w:val="32"/>
          <w:szCs w:val="32"/>
        </w:rPr>
      </w:pPr>
      <w:r>
        <w:rPr>
          <w:b/>
          <w:bCs/>
          <w:caps/>
          <w:color w:val="000000"/>
          <w:sz w:val="32"/>
          <w:szCs w:val="32"/>
        </w:rPr>
      </w:r>
    </w:p>
    <w:p>
      <w:pPr>
        <w:pStyle w:val="para27"/>
        <w:ind w:left="0"/>
        <w:spacing w:after="0" w:line="240" w:lineRule="auto"/>
        <w:contextualSpacing/>
        <w:jc w:val="both"/>
        <w:rPr>
          <w:b/>
          <w:bCs/>
          <w:caps/>
          <w:color w:val="000000"/>
          <w:sz w:val="32"/>
          <w:szCs w:val="32"/>
        </w:rPr>
      </w:pPr>
      <w:r>
        <w:rPr>
          <w:b/>
          <w:bCs/>
          <w:caps/>
          <w:color w:val="000000"/>
          <w:sz w:val="32"/>
          <w:szCs w:val="32"/>
        </w:rPr>
      </w:r>
    </w:p>
    <w:p>
      <w:pPr>
        <w:pStyle w:val="para27"/>
        <w:ind w:left="0"/>
        <w:spacing w:after="0" w:line="240" w:lineRule="auto"/>
        <w:contextualSpacing/>
        <w:jc w:val="both"/>
        <w:rPr>
          <w:b/>
          <w:bCs/>
          <w:caps/>
          <w:color w:val="000000"/>
          <w:sz w:val="32"/>
          <w:szCs w:val="32"/>
        </w:rPr>
      </w:pPr>
      <w:r>
        <w:rPr>
          <w:b/>
          <w:bCs/>
          <w:caps/>
          <w:color w:val="000000"/>
          <w:sz w:val="32"/>
          <w:szCs w:val="32"/>
        </w:rPr>
      </w:r>
    </w:p>
    <w:p>
      <w:pPr>
        <w:pStyle w:val="para27"/>
        <w:ind w:left="0"/>
        <w:spacing w:after="0" w:line="240" w:lineRule="auto"/>
        <w:contextualSpacing/>
        <w:jc w:val="both"/>
        <w:rPr>
          <w:b/>
          <w:bCs/>
          <w:caps/>
          <w:color w:val="000000"/>
          <w:sz w:val="32"/>
          <w:szCs w:val="32"/>
        </w:rPr>
      </w:pPr>
      <w:r>
        <w:rPr>
          <w:b/>
          <w:bCs/>
          <w:caps/>
          <w:color w:val="000000"/>
          <w:sz w:val="32"/>
          <w:szCs w:val="32"/>
        </w:rPr>
      </w:r>
    </w:p>
    <w:p>
      <w:pPr>
        <w:pStyle w:val="para27"/>
        <w:ind w:left="0"/>
        <w:spacing w:after="0" w:line="240" w:lineRule="auto"/>
        <w:contextualSpacing/>
        <w:jc w:val="both"/>
        <w:rPr>
          <w:b/>
          <w:bCs/>
          <w:caps/>
          <w:color w:val="000000"/>
          <w:sz w:val="32"/>
          <w:szCs w:val="32"/>
        </w:rPr>
      </w:pPr>
      <w:r>
        <w:rPr>
          <w:b/>
          <w:bCs/>
          <w:caps/>
          <w:color w:val="000000"/>
          <w:sz w:val="32"/>
          <w:szCs w:val="32"/>
        </w:rPr>
      </w:r>
    </w:p>
    <w:p>
      <w:pPr>
        <w:pStyle w:val="para27"/>
        <w:ind w:left="0"/>
        <w:spacing w:after="0" w:line="240" w:lineRule="auto"/>
        <w:contextualSpacing/>
        <w:jc w:val="both"/>
        <w:rPr>
          <w:b/>
          <w:bCs/>
          <w:caps/>
          <w:color w:val="000000"/>
          <w:sz w:val="32"/>
          <w:szCs w:val="32"/>
        </w:rPr>
      </w:pPr>
      <w:r>
        <w:rPr>
          <w:b/>
          <w:bCs/>
          <w:caps/>
          <w:color w:val="000000"/>
          <w:sz w:val="32"/>
          <w:szCs w:val="32"/>
        </w:rPr>
      </w:r>
    </w:p>
    <w:p>
      <w:pPr>
        <w:pStyle w:val="para27"/>
        <w:ind w:left="0"/>
        <w:spacing w:after="0" w:line="240" w:lineRule="auto"/>
        <w:contextualSpacing/>
        <w:jc w:val="both"/>
        <w:rPr>
          <w:b/>
          <w:bCs/>
          <w:caps/>
          <w:color w:val="000000"/>
          <w:sz w:val="32"/>
          <w:szCs w:val="32"/>
        </w:rPr>
      </w:pPr>
      <w:r>
        <w:rPr>
          <w:b/>
          <w:bCs/>
          <w:caps/>
          <w:color w:val="000000"/>
          <w:sz w:val="32"/>
          <w:szCs w:val="32"/>
        </w:rPr>
      </w:r>
    </w:p>
    <w:p>
      <w:pPr>
        <w:pStyle w:val="para27"/>
        <w:ind w:left="0"/>
        <w:spacing w:after="0" w:line="240" w:lineRule="auto"/>
        <w:contextualSpacing/>
        <w:jc w:val="both"/>
        <w:rPr>
          <w:b/>
          <w:bCs/>
          <w:caps/>
          <w:color w:val="000000"/>
          <w:sz w:val="32"/>
          <w:szCs w:val="32"/>
        </w:rPr>
      </w:pPr>
      <w:r>
        <w:rPr>
          <w:b/>
          <w:bCs/>
          <w:caps/>
          <w:color w:val="000000"/>
          <w:sz w:val="32"/>
          <w:szCs w:val="32"/>
        </w:rPr>
      </w:r>
    </w:p>
    <w:p>
      <w:pPr>
        <w:pStyle w:val="para27"/>
        <w:ind w:left="0"/>
        <w:spacing w:after="0" w:line="240" w:lineRule="auto"/>
        <w:contextualSpacing/>
        <w:jc w:val="both"/>
        <w:rPr>
          <w:b/>
          <w:bCs/>
          <w:caps/>
          <w:color w:val="000000"/>
          <w:sz w:val="32"/>
          <w:szCs w:val="32"/>
        </w:rPr>
      </w:pPr>
      <w:r>
        <w:rPr>
          <w:b/>
          <w:bCs/>
          <w:caps/>
          <w:color w:val="000000"/>
          <w:sz w:val="32"/>
          <w:szCs w:val="32"/>
        </w:rPr>
      </w:r>
    </w:p>
    <w:p>
      <w:pPr>
        <w:pStyle w:val="para27"/>
        <w:ind w:left="0"/>
        <w:spacing w:after="0" w:line="240" w:lineRule="auto"/>
        <w:contextualSpacing/>
        <w:jc w:val="center"/>
        <w:rPr>
          <w:b/>
          <w:bCs/>
          <w:color w:val="000000"/>
          <w:sz w:val="36"/>
          <w:szCs w:val="36"/>
        </w:rPr>
      </w:pPr>
      <w:r>
        <w:rPr>
          <w:b/>
          <w:bCs/>
          <w:caps/>
          <w:color w:val="000000"/>
          <w:sz w:val="32"/>
          <w:szCs w:val="32"/>
        </w:rPr>
        <w:t>Отчёт</w:t>
      </w:r>
      <w:r>
        <w:rPr>
          <w:b/>
          <w:bCs/>
          <w:color w:val="000000"/>
          <w:sz w:val="36"/>
          <w:szCs w:val="36"/>
        </w:rPr>
      </w:r>
    </w:p>
    <w:p>
      <w:pPr>
        <w:pStyle w:val="para27"/>
        <w:ind w:left="0"/>
        <w:spacing w:after="0" w:line="240" w:lineRule="auto"/>
        <w:contextualSpacing/>
        <w:jc w:val="center"/>
        <w:rPr>
          <w:b/>
          <w:bCs/>
          <w:color w:val="000000"/>
          <w:sz w:val="36"/>
          <w:szCs w:val="36"/>
        </w:rPr>
      </w:pPr>
      <w:r>
        <w:rPr>
          <w:b/>
          <w:bCs/>
          <w:color w:val="000000"/>
          <w:sz w:val="36"/>
          <w:szCs w:val="36"/>
        </w:rPr>
        <w:t>о социально - экономическом развитии</w:t>
      </w:r>
    </w:p>
    <w:p>
      <w:pPr>
        <w:pStyle w:val="para27"/>
        <w:ind w:left="0"/>
        <w:spacing w:after="0" w:line="240" w:lineRule="auto"/>
        <w:contextualSpacing/>
        <w:jc w:val="center"/>
        <w:rPr>
          <w:b/>
          <w:bCs/>
          <w:color w:val="000000"/>
          <w:sz w:val="36"/>
          <w:szCs w:val="36"/>
        </w:rPr>
      </w:pPr>
      <w:r>
        <w:rPr>
          <w:b/>
          <w:bCs/>
          <w:color w:val="000000"/>
          <w:sz w:val="36"/>
          <w:szCs w:val="36"/>
        </w:rPr>
        <w:t xml:space="preserve">Анжеро-Судженского городского округа </w:t>
      </w:r>
    </w:p>
    <w:p>
      <w:pPr>
        <w:pStyle w:val="para27"/>
        <w:ind w:left="0"/>
        <w:spacing w:after="0" w:line="240" w:lineRule="auto"/>
        <w:contextualSpacing/>
        <w:jc w:val="center"/>
        <w:rPr>
          <w:b/>
          <w:bCs/>
          <w:color w:val="000000"/>
          <w:sz w:val="36"/>
          <w:szCs w:val="36"/>
        </w:rPr>
      </w:pPr>
      <w:r>
        <w:rPr>
          <w:b/>
          <w:bCs/>
          <w:color w:val="000000"/>
          <w:sz w:val="36"/>
          <w:szCs w:val="36"/>
        </w:rPr>
        <w:t>за 2025 год</w:t>
      </w:r>
    </w:p>
    <w:p>
      <w:pPr>
        <w:spacing/>
        <w:contextualSpacing/>
        <w:jc w:val="both"/>
        <w:rPr>
          <w:b/>
          <w:bCs/>
          <w:color w:val="000000"/>
          <w:sz w:val="36"/>
          <w:szCs w:val="36"/>
        </w:rPr>
      </w:pPr>
      <w:r>
        <w:rPr>
          <w:b/>
          <w:bCs/>
          <w:color w:val="000000"/>
          <w:sz w:val="36"/>
          <w:szCs w:val="36"/>
        </w:rPr>
      </w:r>
    </w:p>
    <w:p>
      <w:pPr>
        <w:spacing/>
        <w:contextualSpacing/>
        <w:jc w:val="both"/>
        <w:rPr>
          <w:b/>
          <w:bCs/>
          <w:color w:val="000000"/>
          <w:sz w:val="36"/>
          <w:szCs w:val="36"/>
        </w:rPr>
      </w:pPr>
      <w:r>
        <w:rPr>
          <w:b/>
          <w:bCs/>
          <w:color w:val="000000"/>
          <w:sz w:val="36"/>
          <w:szCs w:val="36"/>
        </w:rPr>
      </w:r>
    </w:p>
    <w:p>
      <w:pPr>
        <w:spacing/>
        <w:contextualSpacing/>
        <w:jc w:val="both"/>
        <w:rPr>
          <w:b/>
          <w:bCs/>
          <w:color w:val="000000"/>
          <w:sz w:val="36"/>
          <w:szCs w:val="36"/>
        </w:rPr>
      </w:pPr>
      <w:r>
        <w:rPr>
          <w:b/>
          <w:bCs/>
          <w:color w:val="000000"/>
          <w:sz w:val="36"/>
          <w:szCs w:val="36"/>
        </w:rPr>
      </w:r>
    </w:p>
    <w:p>
      <w:pPr>
        <w:spacing/>
        <w:contextualSpacing/>
        <w:jc w:val="both"/>
        <w:rPr>
          <w:b/>
          <w:bCs/>
          <w:color w:val="000000"/>
          <w:sz w:val="36"/>
          <w:szCs w:val="36"/>
        </w:rPr>
      </w:pPr>
      <w:r>
        <w:rPr>
          <w:b/>
          <w:bCs/>
          <w:color w:val="000000"/>
          <w:sz w:val="36"/>
          <w:szCs w:val="36"/>
        </w:rPr>
      </w:r>
    </w:p>
    <w:p>
      <w:pPr>
        <w:spacing/>
        <w:contextualSpacing/>
        <w:jc w:val="both"/>
        <w:rPr>
          <w:b/>
          <w:bCs/>
          <w:color w:val="000000"/>
          <w:sz w:val="36"/>
          <w:szCs w:val="36"/>
        </w:rPr>
      </w:pPr>
      <w:r>
        <w:rPr>
          <w:b/>
          <w:bCs/>
          <w:color w:val="000000"/>
          <w:sz w:val="36"/>
          <w:szCs w:val="36"/>
        </w:rPr>
      </w:r>
    </w:p>
    <w:p>
      <w:pPr>
        <w:spacing/>
        <w:contextualSpacing/>
        <w:jc w:val="both"/>
        <w:rPr>
          <w:b/>
          <w:bCs/>
          <w:color w:val="000000"/>
          <w:sz w:val="36"/>
          <w:szCs w:val="36"/>
        </w:rPr>
      </w:pPr>
      <w:r>
        <w:rPr>
          <w:b/>
          <w:bCs/>
          <w:color w:val="000000"/>
          <w:sz w:val="36"/>
          <w:szCs w:val="36"/>
        </w:rPr>
      </w:r>
    </w:p>
    <w:p>
      <w:pPr>
        <w:spacing/>
        <w:contextualSpacing/>
        <w:jc w:val="both"/>
        <w:rPr>
          <w:b/>
          <w:bCs/>
          <w:color w:val="000000"/>
          <w:sz w:val="36"/>
          <w:szCs w:val="36"/>
        </w:rPr>
      </w:pPr>
      <w:r>
        <w:rPr>
          <w:b/>
          <w:bCs/>
          <w:color w:val="000000"/>
          <w:sz w:val="36"/>
          <w:szCs w:val="36"/>
        </w:rPr>
      </w:r>
    </w:p>
    <w:p>
      <w:pPr>
        <w:spacing/>
        <w:contextualSpacing/>
        <w:jc w:val="both"/>
        <w:rPr>
          <w:b/>
          <w:bCs/>
          <w:color w:val="000000"/>
          <w:sz w:val="36"/>
          <w:szCs w:val="36"/>
        </w:rPr>
      </w:pPr>
      <w:r>
        <w:rPr>
          <w:b/>
          <w:bCs/>
          <w:color w:val="000000"/>
          <w:sz w:val="36"/>
          <w:szCs w:val="36"/>
        </w:rPr>
      </w:r>
    </w:p>
    <w:p>
      <w:pPr>
        <w:spacing/>
        <w:contextualSpacing/>
        <w:jc w:val="both"/>
        <w:rPr>
          <w:b/>
          <w:bCs/>
          <w:color w:val="000000"/>
          <w:sz w:val="36"/>
          <w:szCs w:val="36"/>
        </w:rPr>
      </w:pPr>
      <w:r>
        <w:rPr>
          <w:b/>
          <w:bCs/>
          <w:color w:val="000000"/>
          <w:sz w:val="36"/>
          <w:szCs w:val="36"/>
        </w:rPr>
      </w:r>
    </w:p>
    <w:p>
      <w:pPr>
        <w:spacing/>
        <w:contextualSpacing/>
        <w:jc w:val="both"/>
        <w:rPr>
          <w:color w:val="000000"/>
          <w:sz w:val="36"/>
          <w:szCs w:val="36"/>
        </w:rPr>
      </w:pPr>
      <w:r>
        <w:rPr>
          <w:color w:val="000000"/>
          <w:sz w:val="36"/>
          <w:szCs w:val="36"/>
        </w:rPr>
      </w:r>
    </w:p>
    <w:p>
      <w:pPr>
        <w:spacing/>
        <w:contextualSpacing/>
        <w:jc w:val="both"/>
        <w:rPr>
          <w:color w:val="000000"/>
        </w:rPr>
      </w:pPr>
      <w:r>
        <w:rPr>
          <w:color w:val="000000"/>
        </w:rPr>
      </w:r>
    </w:p>
    <w:p>
      <w:pPr>
        <w:spacing/>
        <w:contextualSpacing/>
        <w:jc w:val="both"/>
        <w:rPr>
          <w:color w:val="000000"/>
        </w:rPr>
      </w:pPr>
      <w:r>
        <w:rPr>
          <w:color w:val="000000"/>
        </w:rPr>
      </w:r>
    </w:p>
    <w:p>
      <w:pPr>
        <w:spacing/>
        <w:contextualSpacing/>
        <w:jc w:val="both"/>
        <w:rPr>
          <w:color w:val="000000"/>
        </w:rPr>
      </w:pPr>
      <w:r>
        <w:rPr>
          <w:color w:val="000000"/>
        </w:rPr>
      </w:r>
    </w:p>
    <w:p>
      <w:pPr>
        <w:spacing/>
        <w:contextualSpacing/>
        <w:jc w:val="both"/>
        <w:rPr>
          <w:color w:val="000000"/>
        </w:rPr>
      </w:pPr>
      <w:r>
        <w:rPr>
          <w:color w:val="000000"/>
        </w:rPr>
      </w:r>
    </w:p>
    <w:p>
      <w:pPr>
        <w:spacing/>
        <w:contextualSpacing/>
        <w:jc w:val="both"/>
        <w:rPr>
          <w:color w:val="000000"/>
        </w:rPr>
      </w:pPr>
      <w:r>
        <w:rPr>
          <w:color w:val="000000"/>
        </w:rPr>
      </w:r>
    </w:p>
    <w:p>
      <w:pPr>
        <w:spacing/>
        <w:contextualSpacing/>
        <w:jc w:val="both"/>
        <w:rPr>
          <w:color w:val="000000"/>
        </w:rPr>
      </w:pPr>
      <w:r>
        <w:rPr>
          <w:color w:val="000000"/>
        </w:rPr>
      </w:r>
    </w:p>
    <w:p>
      <w:pPr>
        <w:spacing/>
        <w:contextualSpacing/>
        <w:jc w:val="both"/>
        <w:rPr>
          <w:color w:val="000000"/>
        </w:rPr>
      </w:pPr>
      <w:r>
        <w:rPr>
          <w:color w:val="000000"/>
        </w:rPr>
      </w:r>
    </w:p>
    <w:p>
      <w:pPr>
        <w:spacing/>
        <w:contextualSpacing/>
        <w:jc w:val="both"/>
        <w:rPr>
          <w:color w:val="000000"/>
        </w:rPr>
      </w:pPr>
      <w:r>
        <w:rPr>
          <w:color w:val="000000"/>
        </w:rPr>
      </w:r>
    </w:p>
    <w:p>
      <w:pPr>
        <w:spacing/>
        <w:contextualSpacing/>
        <w:jc w:val="both"/>
        <w:rPr>
          <w:color w:val="000000"/>
        </w:rPr>
      </w:pPr>
      <w:r>
        <w:rPr>
          <w:color w:val="000000"/>
        </w:rPr>
      </w:r>
    </w:p>
    <w:p>
      <w:pPr>
        <w:spacing/>
        <w:contextualSpacing/>
        <w:jc w:val="both"/>
        <w:rPr>
          <w:color w:val="000000"/>
        </w:rPr>
      </w:pPr>
      <w:r>
        <w:rPr>
          <w:color w:val="000000"/>
        </w:rPr>
      </w:r>
    </w:p>
    <w:p>
      <w:pPr>
        <w:spacing/>
        <w:contextualSpacing/>
        <w:jc w:val="both"/>
        <w:rPr>
          <w:color w:val="000000"/>
        </w:rPr>
      </w:pPr>
      <w:r>
        <w:rPr>
          <w:color w:val="000000"/>
        </w:rPr>
      </w:r>
    </w:p>
    <w:p>
      <w:pPr>
        <w:spacing/>
        <w:contextualSpacing/>
        <w:jc w:val="both"/>
        <w:rPr>
          <w:color w:val="000000"/>
        </w:rPr>
      </w:pPr>
      <w:r>
        <w:rPr>
          <w:color w:val="000000"/>
        </w:rPr>
      </w:r>
    </w:p>
    <w:p>
      <w:pPr>
        <w:spacing/>
        <w:contextualSpacing/>
        <w:jc w:val="both"/>
        <w:rPr>
          <w:color w:val="000000"/>
        </w:rPr>
      </w:pPr>
      <w:r>
        <w:rPr>
          <w:color w:val="000000"/>
        </w:rPr>
      </w:r>
    </w:p>
    <w:p>
      <w:pPr>
        <w:spacing/>
        <w:contextualSpacing/>
        <w:jc w:val="both"/>
        <w:rPr>
          <w:color w:val="000000"/>
        </w:rPr>
      </w:pPr>
      <w:r>
        <w:rPr>
          <w:color w:val="000000"/>
        </w:rPr>
      </w:r>
    </w:p>
    <w:p>
      <w:pPr>
        <w:spacing/>
        <w:contextualSpacing/>
        <w:jc w:val="both"/>
        <w:rPr>
          <w:color w:val="000000"/>
        </w:rPr>
      </w:pPr>
      <w:r>
        <w:rPr>
          <w:color w:val="000000"/>
        </w:rPr>
      </w:r>
    </w:p>
    <w:p>
      <w:pPr>
        <w:spacing/>
        <w:contextualSpacing/>
        <w:jc w:val="both"/>
        <w:rPr>
          <w:color w:val="000000"/>
        </w:rPr>
      </w:pPr>
      <w:r>
        <w:rPr>
          <w:color w:val="000000"/>
        </w:rPr>
      </w:r>
    </w:p>
    <w:p>
      <w:pPr>
        <w:spacing/>
        <w:contextualSpacing/>
        <w:jc w:val="both"/>
        <w:rPr>
          <w:color w:val="000000"/>
        </w:rPr>
      </w:pPr>
      <w:r>
        <w:rPr>
          <w:color w:val="000000"/>
        </w:rPr>
      </w:r>
    </w:p>
    <w:p>
      <w:pPr>
        <w:ind w:left="3261"/>
        <w:spacing/>
        <w:contextualSpacing/>
        <w:jc w:val="both"/>
        <w:rPr>
          <w:b/>
          <w:i/>
          <w:color w:val="000000"/>
          <w:sz w:val="24"/>
          <w:szCs w:val="24"/>
        </w:rPr>
      </w:pPr>
      <w:r>
        <w:rPr>
          <w:b/>
          <w:i/>
          <w:color w:val="000000"/>
          <w:sz w:val="24"/>
          <w:szCs w:val="24"/>
        </w:rPr>
      </w:r>
    </w:p>
    <w:p>
      <w:pPr>
        <w:ind w:left="3261"/>
        <w:spacing/>
        <w:contextualSpacing/>
        <w:jc w:val="both"/>
        <w:rPr>
          <w:b/>
          <w:i/>
          <w:color w:val="000000"/>
          <w:sz w:val="24"/>
          <w:szCs w:val="24"/>
        </w:rPr>
      </w:pPr>
      <w:r>
        <w:rPr>
          <w:b/>
          <w:i/>
          <w:color w:val="000000"/>
          <w:sz w:val="24"/>
          <w:szCs w:val="24"/>
        </w:rPr>
      </w:r>
    </w:p>
    <w:p>
      <w:pPr>
        <w:ind w:left="3261"/>
        <w:spacing/>
        <w:contextualSpacing/>
        <w:jc w:val="both"/>
        <w:rPr>
          <w:b/>
          <w:i/>
          <w:color w:val="000000"/>
          <w:sz w:val="24"/>
          <w:szCs w:val="24"/>
        </w:rPr>
      </w:pPr>
      <w:r>
        <w:rPr>
          <w:b/>
          <w:i/>
          <w:color w:val="000000"/>
          <w:sz w:val="24"/>
          <w:szCs w:val="24"/>
        </w:rPr>
      </w:r>
    </w:p>
    <w:p>
      <w:pPr>
        <w:pStyle w:val="para27"/>
        <w:ind w:left="0"/>
        <w:spacing w:after="0" w:line="240" w:lineRule="auto"/>
        <w:contextualSpacing/>
        <w:jc w:val="center"/>
        <w:rPr>
          <w:b/>
          <w:bCs/>
          <w:color w:val="000000"/>
        </w:rPr>
      </w:pPr>
      <w:r>
        <w:rPr>
          <w:b/>
          <w:bCs/>
          <w:color w:val="000000"/>
        </w:rPr>
        <w:t>1. ДЕМОГРАФИЧЕСКАЯ СИТУАЦИЯ</w:t>
      </w:r>
    </w:p>
    <w:p>
      <w:pPr>
        <w:pStyle w:val="para27"/>
        <w:ind w:left="0"/>
        <w:spacing w:after="0" w:line="240" w:lineRule="auto"/>
        <w:contextualSpacing/>
        <w:jc w:val="center"/>
        <w:rPr>
          <w:color w:val="000000"/>
        </w:rPr>
      </w:pPr>
      <w:r>
        <w:rPr>
          <w:color w:val="000000"/>
        </w:rPr>
      </w:r>
    </w:p>
    <w:p>
      <w:pPr>
        <w:ind w:firstLine="720"/>
        <w:spacing/>
        <w:contextualSpacing/>
        <w:jc w:val="both"/>
        <w:widowControl/>
        <w:rPr>
          <w:color w:val="000000"/>
          <w:sz w:val="24"/>
          <w:szCs w:val="24"/>
        </w:rPr>
      </w:pPr>
      <w:r>
        <w:rPr>
          <w:color w:val="000000"/>
          <w:sz w:val="24"/>
          <w:szCs w:val="24"/>
        </w:rPr>
        <w:t>Численность населения на 01.01.2025 года составляла 68622 человека. В 2025 году на основании ч. 10 ст. 5 Федерального закона №282-ФЗ от 29.11.2007 доступ к данным по численности населения, в том числе св разрезе муниципальных образований, временно приостановлен. С учётом сложившейся ситуации, официальная информация имеется только на 01.01.2025. Оценочно на 01.05.2025 численность населения Анжеро-Судженского городского округа сократилось на 0,5% (в абсолютных числах на 347 человек) и по итогу составила 68275 человек.</w:t>
      </w:r>
    </w:p>
    <w:p>
      <w:pPr>
        <w:ind w:firstLine="720"/>
        <w:spacing/>
        <w:contextualSpacing/>
        <w:jc w:val="both"/>
        <w:widowControl/>
        <w:rPr>
          <w:color w:val="000000"/>
          <w:sz w:val="24"/>
          <w:szCs w:val="24"/>
        </w:rPr>
      </w:pPr>
      <w:r>
        <w:rPr>
          <w:color w:val="000000"/>
          <w:sz w:val="24"/>
          <w:szCs w:val="24"/>
        </w:rPr>
      </w:r>
    </w:p>
    <w:p>
      <w:pPr>
        <w:spacing/>
        <w:contextualSpacing/>
        <w:jc w:val="center"/>
        <w:widowControl/>
        <w:rPr>
          <w:b/>
          <w:color w:val="000000"/>
          <w:sz w:val="24"/>
          <w:szCs w:val="24"/>
        </w:rPr>
      </w:pPr>
      <w:r>
        <w:rPr>
          <w:b/>
          <w:color w:val="000000"/>
          <w:sz w:val="24"/>
          <w:szCs w:val="24"/>
        </w:rPr>
        <w:t>2. ПРОМЫШЛЕННОСТЬ</w:t>
      </w:r>
    </w:p>
    <w:p>
      <w:pPr>
        <w:ind w:firstLine="720"/>
        <w:spacing/>
        <w:contextualSpacing/>
        <w:jc w:val="both"/>
        <w:widowControl/>
        <w:rPr>
          <w:rFonts w:eastAsia="Calibri"/>
          <w:color w:val="000000"/>
          <w:sz w:val="24"/>
          <w:szCs w:val="24"/>
          <w:lang w:eastAsia="en-us"/>
        </w:rPr>
      </w:pPr>
      <w:r>
        <w:rPr>
          <w:rFonts w:eastAsia="Calibri"/>
          <w:color w:val="000000"/>
          <w:sz w:val="24"/>
          <w:szCs w:val="24"/>
          <w:lang w:eastAsia="en-us"/>
        </w:rPr>
      </w:r>
    </w:p>
    <w:p>
      <w:pPr>
        <w:ind w:firstLine="720"/>
        <w:spacing/>
        <w:contextualSpacing/>
        <w:jc w:val="both"/>
        <w:widowControl/>
        <w:rPr>
          <w:rFonts w:eastAsia="Calibri"/>
          <w:color w:val="000000"/>
          <w:sz w:val="24"/>
          <w:szCs w:val="24"/>
          <w:lang w:eastAsia="en-us"/>
        </w:rPr>
      </w:pPr>
      <w:r>
        <w:rPr>
          <w:rFonts w:eastAsia="Calibri"/>
          <w:color w:val="000000"/>
          <w:sz w:val="24"/>
          <w:szCs w:val="24"/>
          <w:lang w:eastAsia="en-us"/>
        </w:rPr>
        <w:t>За январь - декабрь 2025 года промышленное производство городского округа снизило отгрузку произведённой продукции, оказанных услуг в сравнении с аналогичным периодом предыдущего года на 13,83 %. Промышленными предприятиями городского округа отгружено продукции на 133,01  миллиарда рублей, что на 21,35 млрд рублей меньше аналогичного периода прошлого года. При этом следует отметить, что спад производства наблюдается по добыче полезных ископаемых и обрабатывающим производствам. По обеспечению электрической энергией, газом и паром, кондиционирование воздуха, а также в сфере организации водоснабжения, водоотведения и организации сбора и утилизации отходов сохраняется положительная динамика.</w:t>
      </w:r>
    </w:p>
    <w:p>
      <w:pPr>
        <w:ind w:firstLine="720"/>
        <w:spacing/>
        <w:contextualSpacing/>
        <w:jc w:val="both"/>
        <w:widowControl/>
        <w:rPr>
          <w:rFonts w:eastAsia="Calibri"/>
          <w:color w:val="000000"/>
          <w:sz w:val="24"/>
          <w:szCs w:val="24"/>
          <w:lang w:eastAsia="en-us"/>
        </w:rPr>
      </w:pPr>
      <w:r>
        <w:rPr>
          <w:rFonts w:eastAsia="Calibri"/>
          <w:color w:val="000000"/>
          <w:sz w:val="24"/>
          <w:szCs w:val="24"/>
          <w:lang w:eastAsia="en-us"/>
        </w:rPr>
      </w:r>
    </w:p>
    <w:p>
      <w:pPr>
        <w:ind w:firstLine="709"/>
        <w:spacing/>
        <w:contextualSpacing/>
        <w:jc w:val="right"/>
        <w:widowControl/>
        <w:rPr>
          <w:b/>
          <w:color w:val="000000"/>
        </w:rPr>
      </w:pPr>
      <w:r>
        <w:rPr>
          <w:b/>
          <w:color w:val="000000"/>
          <w:sz w:val="24"/>
          <w:szCs w:val="24"/>
        </w:rPr>
        <w:t>Динамика структуры промышленного производства, тыс. руб.</w:t>
      </w:r>
      <w:r>
        <w:rPr>
          <w:b/>
          <w:color w:val="000000"/>
        </w:rPr>
      </w:r>
    </w:p>
    <w:tbl>
      <w:tblPr>
        <w:tblStyle w:val="NormalTable"/>
        <w:name w:val="Таблица2"/>
        <w:tabOrder w:val="0"/>
        <w:jc w:val="left"/>
        <w:tblInd w:w="-8" w:type="dxa"/>
        <w:tblW w:w="10073" w:type="dxa"/>
        <w:pPr>
          <w:ind w:left="-8"/>
        </w:pPr>
        <w:tblLook w:val="0600" w:firstRow="0" w:lastRow="0" w:firstColumn="0" w:lastColumn="0" w:noHBand="1" w:noVBand="1"/>
      </w:tblPr>
      <w:tblGrid>
        <w:gridCol w:w="3063"/>
        <w:gridCol w:w="1771"/>
        <w:gridCol w:w="1182"/>
        <w:gridCol w:w="1483"/>
        <w:gridCol w:w="1182"/>
        <w:gridCol w:w="1392"/>
      </w:tblGrid>
      <w:tr>
        <w:trPr>
          <w:tblHeader w:val="0"/>
          <w:cantSplit w:val="0"/>
          <w:trHeight w:val="0" w:hRule="auto"/>
        </w:trPr>
        <w:tc>
          <w:tcPr>
            <w:tcW w:w="306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pStyle w:val="para27"/>
              <w:ind w:left="0"/>
              <w:spacing w:after="0" w:line="240" w:lineRule="auto"/>
              <w:contextualSpacing/>
              <w:jc w:val="both"/>
              <w:rPr>
                <w:color w:val="000000"/>
              </w:rPr>
            </w:pPr>
            <w:r>
              <w:rPr>
                <w:b/>
                <w:color w:val="000000"/>
              </w:rPr>
              <w:t>Виды производств</w:t>
            </w:r>
            <w:r>
              <w:rPr>
                <w:color w:val="000000"/>
              </w:rPr>
            </w:r>
          </w:p>
        </w:tc>
        <w:tc>
          <w:tcPr>
            <w:tcW w:w="1771"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pStyle w:val="para27"/>
              <w:ind w:left="0"/>
              <w:spacing w:after="0" w:line="240" w:lineRule="auto"/>
              <w:contextualSpacing/>
              <w:jc w:val="center"/>
              <w:rPr>
                <w:b/>
                <w:color w:val="000000"/>
              </w:rPr>
            </w:pPr>
            <w:r>
              <w:rPr>
                <w:b/>
                <w:color w:val="000000"/>
              </w:rPr>
              <w:t>Январь - декабрь</w:t>
            </w:r>
          </w:p>
          <w:p>
            <w:pPr>
              <w:pStyle w:val="para27"/>
              <w:ind w:left="0"/>
              <w:spacing w:after="0" w:line="240" w:lineRule="auto"/>
              <w:contextualSpacing/>
              <w:jc w:val="center"/>
              <w:rPr>
                <w:b/>
                <w:color w:val="000000"/>
              </w:rPr>
            </w:pPr>
            <w:r>
              <w:rPr>
                <w:b/>
                <w:color w:val="000000"/>
              </w:rPr>
              <w:t>2025 г.</w:t>
            </w:r>
          </w:p>
          <w:p>
            <w:pPr>
              <w:pStyle w:val="para27"/>
              <w:ind w:left="0"/>
              <w:spacing w:after="0" w:line="240" w:lineRule="auto"/>
              <w:contextualSpacing/>
              <w:jc w:val="center"/>
              <w:rPr>
                <w:color w:val="000000"/>
              </w:rPr>
            </w:pPr>
            <w:r>
              <w:rPr>
                <w:b/>
                <w:color w:val="000000"/>
              </w:rPr>
              <w:t>(тыс. руб.)</w:t>
            </w:r>
            <w:r>
              <w:rPr>
                <w:color w:val="000000"/>
              </w:rPr>
            </w:r>
          </w:p>
        </w:tc>
        <w:tc>
          <w:tcPr>
            <w:tcW w:w="1182"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pStyle w:val="para27"/>
              <w:ind w:left="0"/>
              <w:spacing w:after="0" w:line="240" w:lineRule="auto"/>
              <w:contextualSpacing/>
              <w:jc w:val="center"/>
              <w:rPr>
                <w:b/>
                <w:color w:val="000000"/>
              </w:rPr>
            </w:pPr>
            <w:r>
              <w:rPr>
                <w:b/>
                <w:color w:val="000000"/>
              </w:rPr>
              <w:t>Доля</w:t>
            </w:r>
          </w:p>
          <w:p>
            <w:pPr>
              <w:pStyle w:val="para27"/>
              <w:ind w:left="0"/>
              <w:spacing w:after="0" w:line="240" w:lineRule="auto"/>
              <w:contextualSpacing/>
              <w:jc w:val="center"/>
              <w:rPr>
                <w:color w:val="000000"/>
              </w:rPr>
            </w:pPr>
            <w:r>
              <w:rPr>
                <w:b/>
                <w:color w:val="000000"/>
              </w:rPr>
              <w:t>к итогу, %</w:t>
            </w:r>
            <w:r>
              <w:rPr>
                <w:color w:val="000000"/>
              </w:rPr>
            </w:r>
          </w:p>
        </w:tc>
        <w:tc>
          <w:tcPr>
            <w:tcW w:w="14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pStyle w:val="para27"/>
              <w:ind w:left="0"/>
              <w:spacing w:after="0" w:line="240" w:lineRule="auto"/>
              <w:contextualSpacing/>
              <w:jc w:val="center"/>
              <w:rPr>
                <w:b/>
                <w:color w:val="000000"/>
              </w:rPr>
            </w:pPr>
            <w:r>
              <w:rPr>
                <w:b/>
                <w:color w:val="000000"/>
              </w:rPr>
              <w:t>Январь - декабрь 2024 г.</w:t>
            </w:r>
          </w:p>
          <w:p>
            <w:pPr>
              <w:pStyle w:val="para27"/>
              <w:ind w:left="0"/>
              <w:spacing w:after="0" w:line="240" w:lineRule="auto"/>
              <w:contextualSpacing/>
              <w:jc w:val="center"/>
              <w:rPr>
                <w:color w:val="000000"/>
              </w:rPr>
            </w:pPr>
            <w:r>
              <w:rPr>
                <w:b/>
                <w:color w:val="000000"/>
              </w:rPr>
              <w:t>(тыс. руб.)</w:t>
            </w:r>
            <w:r>
              <w:rPr>
                <w:color w:val="000000"/>
              </w:rPr>
            </w:r>
          </w:p>
        </w:tc>
        <w:tc>
          <w:tcPr>
            <w:tcW w:w="1182"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pStyle w:val="para27"/>
              <w:ind w:left="0"/>
              <w:spacing w:after="0" w:line="240" w:lineRule="auto"/>
              <w:contextualSpacing/>
              <w:jc w:val="center"/>
              <w:rPr>
                <w:b/>
                <w:color w:val="000000"/>
              </w:rPr>
            </w:pPr>
            <w:r>
              <w:rPr>
                <w:b/>
                <w:color w:val="000000"/>
              </w:rPr>
              <w:t>Доля</w:t>
            </w:r>
          </w:p>
          <w:p>
            <w:pPr>
              <w:pStyle w:val="para27"/>
              <w:ind w:left="0"/>
              <w:spacing w:after="0" w:line="240" w:lineRule="auto"/>
              <w:contextualSpacing/>
              <w:jc w:val="center"/>
              <w:rPr>
                <w:color w:val="000000"/>
              </w:rPr>
            </w:pPr>
            <w:r>
              <w:rPr>
                <w:b/>
                <w:color w:val="000000"/>
              </w:rPr>
              <w:t>к итогу, %</w:t>
            </w:r>
            <w:r>
              <w:rPr>
                <w:color w:val="000000"/>
              </w:rPr>
            </w:r>
          </w:p>
        </w:tc>
        <w:tc>
          <w:tcPr>
            <w:tcW w:w="1392"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pStyle w:val="para27"/>
              <w:ind w:left="0"/>
              <w:spacing w:after="0" w:line="240" w:lineRule="auto"/>
              <w:contextualSpacing/>
              <w:jc w:val="center"/>
              <w:rPr>
                <w:color w:val="000000"/>
              </w:rPr>
            </w:pPr>
            <w:r>
              <w:rPr>
                <w:b/>
                <w:color w:val="000000"/>
              </w:rPr>
              <w:t>Темп роста (спада), %</w:t>
            </w:r>
            <w:r>
              <w:rPr>
                <w:color w:val="000000"/>
              </w:rPr>
            </w:r>
          </w:p>
        </w:tc>
      </w:tr>
      <w:tr>
        <w:trPr>
          <w:tblHeader w:val="0"/>
          <w:cantSplit w:val="0"/>
          <w:trHeight w:val="0" w:hRule="auto"/>
        </w:trPr>
        <w:tc>
          <w:tcPr>
            <w:tcW w:w="306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pStyle w:val="para27"/>
              <w:ind w:left="0"/>
              <w:spacing w:after="0" w:line="240" w:lineRule="auto"/>
              <w:contextualSpacing/>
              <w:jc w:val="both"/>
              <w:rPr>
                <w:color w:val="000000"/>
              </w:rPr>
            </w:pPr>
            <w:r>
              <w:rPr>
                <w:color w:val="000000"/>
              </w:rPr>
              <w:t>Добыча полезных ископаемых</w:t>
            </w:r>
          </w:p>
        </w:tc>
        <w:tc>
          <w:tcPr>
            <w:tcW w:w="177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spacing/>
              <w:jc w:val="center"/>
              <w:rPr>
                <w:color w:val="000000"/>
                <w:sz w:val="24"/>
                <w:szCs w:val="24"/>
              </w:rPr>
            </w:pPr>
            <w:r>
              <w:rPr>
                <w:color w:val="000000"/>
                <w:sz w:val="24"/>
                <w:szCs w:val="24"/>
              </w:rPr>
              <w:t>2 092 534</w:t>
            </w:r>
          </w:p>
        </w:tc>
        <w:tc>
          <w:tcPr>
            <w:tcW w:w="118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spacing/>
              <w:jc w:val="center"/>
              <w:rPr>
                <w:color w:val="000000"/>
                <w:sz w:val="24"/>
                <w:szCs w:val="24"/>
              </w:rPr>
            </w:pPr>
            <w:r>
              <w:rPr>
                <w:color w:val="000000"/>
                <w:sz w:val="24"/>
                <w:szCs w:val="24"/>
              </w:rPr>
              <w:t>1,6</w:t>
            </w:r>
          </w:p>
        </w:tc>
        <w:tc>
          <w:tcPr>
            <w:tcW w:w="148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spacing/>
              <w:jc w:val="center"/>
              <w:rPr>
                <w:color w:val="000000"/>
                <w:sz w:val="24"/>
                <w:szCs w:val="24"/>
              </w:rPr>
            </w:pPr>
            <w:r>
              <w:rPr>
                <w:color w:val="000000"/>
                <w:sz w:val="24"/>
                <w:szCs w:val="24"/>
              </w:rPr>
              <w:t>3 960 424</w:t>
            </w:r>
          </w:p>
        </w:tc>
        <w:tc>
          <w:tcPr>
            <w:tcW w:w="118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spacing/>
              <w:jc w:val="center"/>
              <w:rPr>
                <w:color w:val="000000"/>
                <w:sz w:val="24"/>
                <w:szCs w:val="24"/>
              </w:rPr>
            </w:pPr>
            <w:r>
              <w:rPr>
                <w:color w:val="000000"/>
                <w:sz w:val="24"/>
                <w:szCs w:val="24"/>
              </w:rPr>
              <w:t>2,5</w:t>
            </w:r>
          </w:p>
        </w:tc>
        <w:tc>
          <w:tcPr>
            <w:tcW w:w="139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spacing/>
              <w:jc w:val="center"/>
              <w:rPr>
                <w:color w:val="000000"/>
                <w:sz w:val="24"/>
                <w:szCs w:val="24"/>
              </w:rPr>
            </w:pPr>
            <w:r>
              <w:rPr>
                <w:color w:val="000000"/>
                <w:sz w:val="24"/>
                <w:szCs w:val="24"/>
              </w:rPr>
              <w:t>52,84</w:t>
            </w:r>
          </w:p>
        </w:tc>
      </w:tr>
      <w:tr>
        <w:trPr>
          <w:tblHeader w:val="0"/>
          <w:cantSplit w:val="0"/>
          <w:trHeight w:val="0" w:hRule="auto"/>
        </w:trPr>
        <w:tc>
          <w:tcPr>
            <w:tcW w:w="306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pStyle w:val="para27"/>
              <w:ind w:left="0"/>
              <w:spacing w:after="0" w:line="240" w:lineRule="auto"/>
              <w:contextualSpacing/>
              <w:jc w:val="both"/>
              <w:rPr>
                <w:color w:val="000000"/>
              </w:rPr>
            </w:pPr>
            <w:r>
              <w:rPr>
                <w:color w:val="000000"/>
              </w:rPr>
              <w:t>Обрабатывающие производства</w:t>
            </w:r>
          </w:p>
        </w:tc>
        <w:tc>
          <w:tcPr>
            <w:tcW w:w="177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spacing/>
              <w:jc w:val="center"/>
              <w:rPr>
                <w:color w:val="000000"/>
                <w:sz w:val="24"/>
                <w:szCs w:val="24"/>
              </w:rPr>
            </w:pPr>
            <w:r>
              <w:rPr>
                <w:color w:val="000000"/>
                <w:sz w:val="24"/>
                <w:szCs w:val="24"/>
              </w:rPr>
            </w:r>
          </w:p>
          <w:p>
            <w:pPr>
              <w:spacing/>
              <w:jc w:val="center"/>
              <w:rPr>
                <w:color w:val="000000"/>
                <w:sz w:val="24"/>
                <w:szCs w:val="24"/>
              </w:rPr>
            </w:pPr>
            <w:r>
              <w:rPr>
                <w:color w:val="000000"/>
                <w:sz w:val="24"/>
                <w:szCs w:val="24"/>
              </w:rPr>
              <w:t>128 534 053</w:t>
            </w:r>
          </w:p>
        </w:tc>
        <w:tc>
          <w:tcPr>
            <w:tcW w:w="118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spacing/>
              <w:jc w:val="center"/>
              <w:rPr>
                <w:color w:val="000000"/>
                <w:sz w:val="24"/>
                <w:szCs w:val="24"/>
              </w:rPr>
            </w:pPr>
            <w:r>
              <w:rPr>
                <w:color w:val="000000"/>
                <w:sz w:val="24"/>
                <w:szCs w:val="24"/>
              </w:rPr>
              <w:t>96,6</w:t>
            </w:r>
          </w:p>
        </w:tc>
        <w:tc>
          <w:tcPr>
            <w:tcW w:w="148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spacing/>
              <w:jc w:val="center"/>
              <w:rPr>
                <w:color w:val="000000"/>
                <w:sz w:val="24"/>
                <w:szCs w:val="24"/>
              </w:rPr>
            </w:pPr>
            <w:r>
              <w:rPr>
                <w:color w:val="000000"/>
                <w:sz w:val="24"/>
                <w:szCs w:val="24"/>
              </w:rPr>
              <w:t>148 175 792</w:t>
            </w:r>
          </w:p>
        </w:tc>
        <w:tc>
          <w:tcPr>
            <w:tcW w:w="118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spacing/>
              <w:jc w:val="center"/>
              <w:rPr>
                <w:color w:val="000000"/>
                <w:sz w:val="24"/>
                <w:szCs w:val="24"/>
              </w:rPr>
            </w:pPr>
            <w:r>
              <w:rPr>
                <w:color w:val="000000"/>
                <w:sz w:val="24"/>
                <w:szCs w:val="24"/>
              </w:rPr>
              <w:t>96,1</w:t>
            </w:r>
          </w:p>
        </w:tc>
        <w:tc>
          <w:tcPr>
            <w:tcW w:w="139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spacing/>
              <w:jc w:val="center"/>
              <w:rPr>
                <w:color w:val="000000"/>
                <w:sz w:val="24"/>
                <w:szCs w:val="24"/>
              </w:rPr>
            </w:pPr>
            <w:r>
              <w:rPr>
                <w:color w:val="000000"/>
                <w:sz w:val="24"/>
                <w:szCs w:val="24"/>
              </w:rPr>
              <w:t>86,74</w:t>
            </w:r>
          </w:p>
        </w:tc>
      </w:tr>
      <w:tr>
        <w:trPr>
          <w:tblHeader w:val="0"/>
          <w:cantSplit w:val="0"/>
          <w:trHeight w:val="0" w:hRule="auto"/>
        </w:trPr>
        <w:tc>
          <w:tcPr>
            <w:tcW w:w="306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pStyle w:val="para27"/>
              <w:ind w:left="0"/>
              <w:spacing w:after="0" w:line="240" w:lineRule="auto"/>
              <w:contextualSpacing/>
              <w:jc w:val="both"/>
              <w:rPr>
                <w:color w:val="000000"/>
              </w:rPr>
            </w:pPr>
            <w:r>
              <w:rPr>
                <w:color w:val="000000"/>
              </w:rPr>
              <w:t>Обеспечение электрической энергией, газом и паром кондиционирование воздуха</w:t>
            </w:r>
          </w:p>
        </w:tc>
        <w:tc>
          <w:tcPr>
            <w:tcW w:w="177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spacing/>
              <w:jc w:val="center"/>
              <w:rPr>
                <w:color w:val="000000"/>
                <w:sz w:val="24"/>
                <w:szCs w:val="24"/>
              </w:rPr>
            </w:pPr>
            <w:r>
              <w:rPr>
                <w:color w:val="000000"/>
                <w:sz w:val="24"/>
                <w:szCs w:val="24"/>
              </w:rPr>
              <w:t>1 833 915</w:t>
            </w:r>
          </w:p>
        </w:tc>
        <w:tc>
          <w:tcPr>
            <w:tcW w:w="118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spacing/>
              <w:jc w:val="center"/>
              <w:rPr>
                <w:color w:val="000000"/>
                <w:sz w:val="24"/>
                <w:szCs w:val="24"/>
              </w:rPr>
            </w:pPr>
            <w:r>
              <w:rPr>
                <w:color w:val="000000"/>
                <w:sz w:val="24"/>
                <w:szCs w:val="24"/>
              </w:rPr>
              <w:t>1,3</w:t>
            </w:r>
          </w:p>
        </w:tc>
        <w:tc>
          <w:tcPr>
            <w:tcW w:w="148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spacing/>
              <w:jc w:val="center"/>
              <w:rPr>
                <w:color w:val="000000"/>
                <w:sz w:val="24"/>
                <w:szCs w:val="24"/>
              </w:rPr>
            </w:pPr>
            <w:r>
              <w:rPr>
                <w:color w:val="000000"/>
                <w:sz w:val="24"/>
                <w:szCs w:val="24"/>
              </w:rPr>
              <w:t>1 703 999</w:t>
            </w:r>
          </w:p>
        </w:tc>
        <w:tc>
          <w:tcPr>
            <w:tcW w:w="118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spacing/>
              <w:jc w:val="center"/>
              <w:rPr>
                <w:color w:val="000000"/>
                <w:sz w:val="24"/>
                <w:szCs w:val="24"/>
              </w:rPr>
            </w:pPr>
            <w:r>
              <w:rPr>
                <w:color w:val="000000"/>
                <w:sz w:val="24"/>
                <w:szCs w:val="24"/>
              </w:rPr>
              <w:t>1,1</w:t>
            </w:r>
          </w:p>
        </w:tc>
        <w:tc>
          <w:tcPr>
            <w:tcW w:w="139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spacing/>
              <w:jc w:val="center"/>
              <w:rPr>
                <w:color w:val="000000"/>
                <w:sz w:val="24"/>
                <w:szCs w:val="24"/>
              </w:rPr>
            </w:pPr>
            <w:r>
              <w:rPr>
                <w:color w:val="000000"/>
                <w:sz w:val="24"/>
                <w:szCs w:val="24"/>
              </w:rPr>
              <w:t>107,62</w:t>
            </w:r>
          </w:p>
        </w:tc>
      </w:tr>
      <w:tr>
        <w:trPr>
          <w:tblHeader w:val="0"/>
          <w:cantSplit w:val="0"/>
          <w:trHeight w:val="0" w:hRule="auto"/>
        </w:trPr>
        <w:tc>
          <w:tcPr>
            <w:tcW w:w="306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pStyle w:val="para27"/>
              <w:ind w:left="0"/>
              <w:spacing w:after="0" w:line="240" w:lineRule="auto"/>
              <w:contextualSpacing/>
              <w:jc w:val="both"/>
              <w:rPr>
                <w:color w:val="000000"/>
              </w:rPr>
            </w:pPr>
            <w:r>
              <w:rPr>
                <w:color w:val="000000"/>
              </w:rPr>
              <w:t>Водоснабжение, водоотведение, организация сбора и утилизации отходов</w:t>
            </w:r>
          </w:p>
        </w:tc>
        <w:tc>
          <w:tcPr>
            <w:tcW w:w="177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spacing/>
              <w:jc w:val="center"/>
              <w:rPr>
                <w:color w:val="000000"/>
                <w:sz w:val="24"/>
                <w:szCs w:val="24"/>
              </w:rPr>
            </w:pPr>
            <w:r>
              <w:rPr>
                <w:color w:val="000000"/>
                <w:sz w:val="24"/>
                <w:szCs w:val="24"/>
              </w:rPr>
              <w:t>546 965</w:t>
            </w:r>
          </w:p>
        </w:tc>
        <w:tc>
          <w:tcPr>
            <w:tcW w:w="118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spacing/>
              <w:jc w:val="center"/>
              <w:rPr>
                <w:color w:val="000000"/>
                <w:sz w:val="24"/>
                <w:szCs w:val="24"/>
              </w:rPr>
            </w:pPr>
            <w:r>
              <w:rPr>
                <w:color w:val="000000"/>
                <w:sz w:val="24"/>
                <w:szCs w:val="24"/>
              </w:rPr>
              <w:t>0,4</w:t>
            </w:r>
          </w:p>
        </w:tc>
        <w:tc>
          <w:tcPr>
            <w:tcW w:w="148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spacing/>
              <w:jc w:val="center"/>
              <w:rPr>
                <w:color w:val="000000"/>
                <w:sz w:val="24"/>
                <w:szCs w:val="24"/>
              </w:rPr>
            </w:pPr>
            <w:r>
              <w:rPr>
                <w:color w:val="000000"/>
                <w:sz w:val="24"/>
                <w:szCs w:val="24"/>
              </w:rPr>
              <w:t>518 289</w:t>
            </w:r>
          </w:p>
        </w:tc>
        <w:tc>
          <w:tcPr>
            <w:tcW w:w="118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spacing/>
              <w:jc w:val="center"/>
              <w:rPr>
                <w:color w:val="000000"/>
                <w:sz w:val="24"/>
                <w:szCs w:val="24"/>
              </w:rPr>
            </w:pPr>
            <w:r>
              <w:rPr>
                <w:color w:val="000000"/>
                <w:sz w:val="24"/>
                <w:szCs w:val="24"/>
              </w:rPr>
              <w:t>0,3</w:t>
            </w:r>
          </w:p>
        </w:tc>
        <w:tc>
          <w:tcPr>
            <w:tcW w:w="139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spacing/>
              <w:jc w:val="center"/>
              <w:rPr>
                <w:color w:val="000000"/>
                <w:sz w:val="24"/>
                <w:szCs w:val="24"/>
              </w:rPr>
            </w:pPr>
            <w:r>
              <w:rPr>
                <w:color w:val="000000"/>
                <w:sz w:val="24"/>
                <w:szCs w:val="24"/>
              </w:rPr>
              <w:t>105,53</w:t>
            </w:r>
          </w:p>
        </w:tc>
      </w:tr>
      <w:tr>
        <w:trPr>
          <w:tblHeader w:val="0"/>
          <w:cantSplit w:val="0"/>
          <w:trHeight w:val="0" w:hRule="auto"/>
        </w:trPr>
        <w:tc>
          <w:tcPr>
            <w:tcW w:w="306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pStyle w:val="para27"/>
              <w:ind w:left="0"/>
              <w:spacing w:after="0" w:line="240" w:lineRule="auto"/>
              <w:contextualSpacing/>
              <w:jc w:val="both"/>
              <w:rPr>
                <w:b/>
                <w:bCs/>
                <w:color w:val="000000"/>
              </w:rPr>
            </w:pPr>
            <w:r>
              <w:rPr>
                <w:b/>
                <w:bCs/>
                <w:color w:val="000000"/>
              </w:rPr>
              <w:t xml:space="preserve">Итого </w:t>
            </w:r>
          </w:p>
        </w:tc>
        <w:tc>
          <w:tcPr>
            <w:tcW w:w="177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spacing/>
              <w:jc w:val="center"/>
              <w:rPr>
                <w:b/>
                <w:bCs/>
                <w:color w:val="000000"/>
                <w:sz w:val="24"/>
                <w:szCs w:val="24"/>
              </w:rPr>
            </w:pPr>
            <w:r>
              <w:rPr>
                <w:b/>
                <w:bCs/>
                <w:color w:val="000000"/>
                <w:sz w:val="24"/>
                <w:szCs w:val="24"/>
              </w:rPr>
              <w:t>133 007 467</w:t>
            </w:r>
          </w:p>
        </w:tc>
        <w:tc>
          <w:tcPr>
            <w:tcW w:w="118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pStyle w:val="para27"/>
              <w:ind w:left="0"/>
              <w:spacing w:after="0" w:line="240" w:lineRule="auto"/>
              <w:contextualSpacing/>
              <w:jc w:val="center"/>
              <w:rPr>
                <w:b/>
                <w:bCs/>
                <w:color w:val="000000"/>
              </w:rPr>
            </w:pPr>
            <w:r>
              <w:rPr>
                <w:b/>
                <w:bCs/>
                <w:color w:val="000000"/>
              </w:rPr>
              <w:t>100</w:t>
            </w:r>
          </w:p>
        </w:tc>
        <w:tc>
          <w:tcPr>
            <w:tcW w:w="148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spacing/>
              <w:jc w:val="center"/>
              <w:rPr>
                <w:b/>
                <w:bCs/>
                <w:color w:val="000000"/>
                <w:sz w:val="24"/>
                <w:szCs w:val="24"/>
              </w:rPr>
            </w:pPr>
            <w:r>
              <w:rPr>
                <w:b/>
                <w:bCs/>
                <w:color w:val="000000"/>
                <w:sz w:val="24"/>
                <w:szCs w:val="24"/>
              </w:rPr>
              <w:t>154 358 503</w:t>
            </w:r>
          </w:p>
        </w:tc>
        <w:tc>
          <w:tcPr>
            <w:tcW w:w="118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pStyle w:val="para27"/>
              <w:ind w:left="0"/>
              <w:spacing w:after="0" w:line="240" w:lineRule="auto"/>
              <w:contextualSpacing/>
              <w:jc w:val="center"/>
              <w:rPr>
                <w:b/>
                <w:bCs/>
                <w:color w:val="000000"/>
              </w:rPr>
            </w:pPr>
            <w:r>
              <w:rPr>
                <w:b/>
                <w:bCs/>
                <w:color w:val="000000"/>
              </w:rPr>
              <w:t>100</w:t>
            </w:r>
          </w:p>
        </w:tc>
        <w:tc>
          <w:tcPr>
            <w:tcW w:w="139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spacing/>
              <w:jc w:val="center"/>
              <w:rPr>
                <w:b/>
                <w:bCs/>
                <w:color w:val="000000"/>
                <w:sz w:val="24"/>
                <w:szCs w:val="24"/>
              </w:rPr>
            </w:pPr>
            <w:r>
              <w:rPr>
                <w:b/>
                <w:bCs/>
                <w:color w:val="000000"/>
                <w:sz w:val="24"/>
                <w:szCs w:val="24"/>
              </w:rPr>
              <w:t>86,17</w:t>
            </w:r>
          </w:p>
        </w:tc>
      </w:tr>
    </w:tbl>
    <w:p>
      <w:pPr>
        <w:ind w:firstLine="720"/>
        <w:spacing/>
        <w:contextualSpacing/>
        <w:jc w:val="both"/>
        <w:widowControl/>
        <w:rPr>
          <w:color w:val="000000"/>
          <w:sz w:val="24"/>
          <w:szCs w:val="24"/>
        </w:rPr>
      </w:pPr>
      <w:r>
        <w:rPr>
          <w:color w:val="000000"/>
          <w:sz w:val="24"/>
          <w:szCs w:val="24"/>
        </w:rPr>
        <w:t xml:space="preserve">В разрезе крупных и средних предприятий, за период с января по октябрь 2025 г. рост производства отмечается в следующих отраслях: </w:t>
      </w:r>
    </w:p>
    <w:p>
      <w:pPr>
        <w:ind w:firstLine="720"/>
        <w:spacing/>
        <w:contextualSpacing/>
        <w:jc w:val="both"/>
        <w:widowControl/>
        <w:rPr>
          <w:color w:val="000000"/>
          <w:sz w:val="24"/>
          <w:szCs w:val="24"/>
        </w:rPr>
      </w:pPr>
      <w:r>
        <w:rPr>
          <w:color w:val="000000"/>
          <w:sz w:val="24"/>
          <w:szCs w:val="24"/>
        </w:rPr>
        <w:t>-добыча прочих полезных ископаемых –на 12.1%;</w:t>
      </w:r>
    </w:p>
    <w:p>
      <w:pPr>
        <w:ind w:firstLine="720"/>
        <w:spacing/>
        <w:contextualSpacing/>
        <w:jc w:val="both"/>
        <w:widowControl/>
        <w:rPr>
          <w:color w:val="000000"/>
          <w:sz w:val="24"/>
          <w:szCs w:val="24"/>
        </w:rPr>
      </w:pPr>
      <w:r>
        <w:rPr>
          <w:color w:val="000000"/>
          <w:sz w:val="24"/>
          <w:szCs w:val="24"/>
        </w:rPr>
        <w:t>-производство, передача и распределение пара и горячей воды, кондиционирование воздуха - на 5.8%.</w:t>
      </w:r>
    </w:p>
    <w:p>
      <w:pPr>
        <w:ind w:firstLine="720"/>
        <w:spacing/>
        <w:contextualSpacing/>
        <w:jc w:val="both"/>
        <w:widowControl/>
        <w:rPr>
          <w:color w:val="000000"/>
          <w:sz w:val="24"/>
          <w:szCs w:val="24"/>
        </w:rPr>
      </w:pPr>
      <w:r>
        <w:rPr>
          <w:color w:val="000000"/>
          <w:sz w:val="24"/>
          <w:szCs w:val="24"/>
        </w:rPr>
        <w:t>-водоснабжение; водоотведение, организация сбора и утилизации отходов, деятельность по ликвидации загрязнений - на 14.4%.</w:t>
      </w:r>
    </w:p>
    <w:p>
      <w:pPr>
        <w:ind w:firstLine="709"/>
        <w:spacing/>
        <w:contextualSpacing/>
        <w:jc w:val="both"/>
        <w:widowControl/>
        <w:rPr>
          <w:color w:val="000000"/>
          <w:sz w:val="24"/>
          <w:szCs w:val="24"/>
        </w:rPr>
      </w:pPr>
      <w:r>
        <w:rPr>
          <w:color w:val="000000"/>
          <w:sz w:val="24"/>
          <w:szCs w:val="24"/>
        </w:rPr>
        <w:t>В большинстве же производств отмечается снижение объёмов, а именно:</w:t>
      </w:r>
    </w:p>
    <w:p>
      <w:pPr>
        <w:ind w:firstLine="709"/>
        <w:spacing/>
        <w:contextualSpacing/>
        <w:jc w:val="both"/>
        <w:widowControl/>
        <w:rPr>
          <w:color w:val="000000"/>
          <w:sz w:val="24"/>
          <w:szCs w:val="24"/>
        </w:rPr>
      </w:pPr>
      <w:r>
        <w:rPr>
          <w:color w:val="000000"/>
          <w:sz w:val="24"/>
          <w:szCs w:val="24"/>
        </w:rPr>
        <w:t>-на производством лекарственных средств и материалов,</w:t>
      </w:r>
      <w:r>
        <w:rPr>
          <w:i/>
          <w:iCs/>
          <w:color w:val="000000"/>
          <w:sz w:val="24"/>
          <w:szCs w:val="24"/>
        </w:rPr>
        <w:t xml:space="preserve"> п</w:t>
      </w:r>
      <w:r>
        <w:rPr>
          <w:color w:val="000000"/>
          <w:sz w:val="24"/>
          <w:szCs w:val="24"/>
        </w:rPr>
        <w:t>рименяемых в медицинских целях</w:t>
      </w:r>
      <w:r>
        <w:rPr>
          <w:i/>
          <w:iCs/>
          <w:color w:val="000000"/>
          <w:sz w:val="24"/>
          <w:szCs w:val="24"/>
        </w:rPr>
        <w:t xml:space="preserve"> - </w:t>
      </w:r>
      <w:r>
        <w:rPr>
          <w:color w:val="000000"/>
          <w:sz w:val="24"/>
          <w:szCs w:val="24"/>
        </w:rPr>
        <w:t>на 5.4%,</w:t>
      </w:r>
      <w:r>
        <w:rPr>
          <w:color w:val="000000"/>
          <w:sz w:val="24"/>
          <w:szCs w:val="24"/>
        </w:rPr>
      </w:r>
    </w:p>
    <w:p>
      <w:pPr>
        <w:ind w:firstLine="709"/>
        <w:spacing/>
        <w:contextualSpacing/>
        <w:jc w:val="both"/>
        <w:widowControl/>
        <w:rPr>
          <w:color w:val="000000"/>
          <w:sz w:val="24"/>
          <w:szCs w:val="24"/>
        </w:rPr>
      </w:pPr>
      <w:r>
        <w:rPr>
          <w:color w:val="000000"/>
          <w:sz w:val="24"/>
          <w:szCs w:val="24"/>
        </w:rPr>
        <w:t>-добыча угля - на 58,7%,</w:t>
      </w:r>
    </w:p>
    <w:p>
      <w:pPr>
        <w:ind w:firstLine="709"/>
        <w:spacing/>
        <w:contextualSpacing/>
        <w:jc w:val="both"/>
        <w:widowControl/>
        <w:rPr>
          <w:color w:val="000000"/>
          <w:sz w:val="24"/>
          <w:szCs w:val="24"/>
        </w:rPr>
      </w:pPr>
      <w:r>
        <w:rPr>
          <w:color w:val="000000"/>
          <w:sz w:val="24"/>
          <w:szCs w:val="24"/>
        </w:rPr>
        <w:t>-производство пищевых продуктов - на 26,7%,</w:t>
      </w:r>
    </w:p>
    <w:p>
      <w:pPr>
        <w:ind w:firstLine="720"/>
        <w:spacing/>
        <w:contextualSpacing/>
        <w:jc w:val="both"/>
        <w:widowControl/>
        <w:rPr>
          <w:color w:val="000000"/>
          <w:sz w:val="24"/>
          <w:szCs w:val="24"/>
        </w:rPr>
      </w:pPr>
      <w:r>
        <w:rPr>
          <w:color w:val="000000"/>
          <w:sz w:val="24"/>
          <w:szCs w:val="24"/>
        </w:rPr>
        <w:t>-производство кокса и нефтепродуктов на 16,3%,</w:t>
      </w:r>
    </w:p>
    <w:p>
      <w:pPr>
        <w:ind w:firstLine="720"/>
        <w:spacing/>
        <w:contextualSpacing/>
        <w:jc w:val="both"/>
        <w:widowControl/>
        <w:rPr>
          <w:color w:val="000000"/>
          <w:sz w:val="24"/>
          <w:szCs w:val="24"/>
        </w:rPr>
      </w:pPr>
      <w:r>
        <w:rPr>
          <w:color w:val="000000"/>
          <w:sz w:val="24"/>
          <w:szCs w:val="24"/>
        </w:rPr>
        <w:t>-ремонт и монтаж машин и оборудования - на 98,3%,</w:t>
      </w:r>
    </w:p>
    <w:p>
      <w:pPr>
        <w:ind w:firstLine="720"/>
        <w:spacing/>
        <w:contextualSpacing/>
        <w:jc w:val="both"/>
        <w:widowControl/>
        <w:rPr>
          <w:color w:val="000000"/>
          <w:sz w:val="24"/>
          <w:szCs w:val="24"/>
        </w:rPr>
      </w:pPr>
      <w:r>
        <w:rPr>
          <w:color w:val="000000"/>
          <w:sz w:val="24"/>
          <w:szCs w:val="24"/>
        </w:rPr>
        <w:t>-производство машин и оборудования, не включённых в другие группы - на 37,6%.</w:t>
      </w:r>
    </w:p>
    <w:p>
      <w:pPr>
        <w:ind w:firstLine="709"/>
        <w:spacing/>
        <w:contextual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szCs w:val="24"/>
        </w:rPr>
      </w:pPr>
      <w:r>
        <w:rPr>
          <w:color w:val="000000"/>
          <w:sz w:val="24"/>
          <w:szCs w:val="24"/>
        </w:rPr>
      </w:r>
    </w:p>
    <w:p>
      <w:pPr>
        <w:ind w:firstLine="709"/>
        <w:spacing/>
        <w:contextual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szCs w:val="24"/>
        </w:rPr>
      </w:pPr>
      <w:r>
        <w:rPr>
          <w:color w:val="000000"/>
          <w:sz w:val="24"/>
          <w:szCs w:val="24"/>
        </w:rPr>
        <w:t>Основным направлением, определяющим динамику объёмов отгруженной продукции промышленности в городском округе, по-прежнему, является нефтеперерабатывающая отрасль, которая занимает более 90% в объемах произведённой и отгруженной продукции. Сложившаяся ситуация на внешних и внутренних «нефтяных» рынках не позволяют делать оптимистичных прогнозов. Данная тенденция сохранится, как минимум, до конца 2025 года.</w:t>
      </w:r>
    </w:p>
    <w:p>
      <w:pPr>
        <w:spacing/>
        <w:contextualSpacing/>
        <w:jc w:val="both"/>
        <w:widowControl/>
        <w:rPr>
          <w:color w:val="000000"/>
          <w:sz w:val="24"/>
          <w:szCs w:val="24"/>
        </w:rPr>
      </w:pPr>
      <w:r>
        <w:rPr>
          <w:color w:val="000000"/>
          <w:sz w:val="24"/>
          <w:szCs w:val="24"/>
        </w:rPr>
      </w:r>
    </w:p>
    <w:p>
      <w:pPr>
        <w:spacing/>
        <w:contextualSpacing/>
        <w:jc w:val="center"/>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color w:val="000000"/>
          <w:sz w:val="24"/>
          <w:szCs w:val="24"/>
        </w:rPr>
      </w:pPr>
      <w:r>
        <w:rPr>
          <w:b/>
          <w:color w:val="000000"/>
          <w:sz w:val="24"/>
          <w:szCs w:val="24"/>
        </w:rPr>
        <w:t>3. ИНВЕСТИЦИИ</w:t>
      </w:r>
    </w:p>
    <w:p>
      <w:pPr>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r>
    </w:p>
    <w:p>
      <w:pPr>
        <w:ind w:firstLine="720"/>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t xml:space="preserve">В развитие экономики и социальной сферы за 2025 года вложено 13,81 млрд рублей, что на 26,9% больше уровня инвестиций за аналогичный период 2024 года. </w:t>
      </w:r>
    </w:p>
    <w:p>
      <w:pPr>
        <w:ind w:firstLine="720"/>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t xml:space="preserve">На долю крупных и средних предприятий приходится 95,8% всего объёма инвестиций. </w:t>
      </w:r>
    </w:p>
    <w:p>
      <w:pPr>
        <w:ind w:firstLine="720"/>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t>Большая часть инвестиций крупных и средних предприятий  была вложена на сооружения и прочие машины и оборудование, включая хозяйственный инвентарь, и другие объекты составила 13 097,9 млн. руб. (98,98%), на здания в рассматриваемом периоде было вложено 34,4 млн руб., что составляет 0,3% от общего числа инвестиций. На прочие инвестиции приходится  99,9 млн. руб.</w:t>
      </w:r>
    </w:p>
    <w:p>
      <w:pPr>
        <w:ind w:firstLine="720"/>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t xml:space="preserve">Собственные средства крупных и средних предприятий составили 9 396,1 млн руб. – 71%, привлечённые – 3 836,1 млн руб. (29%). За счёт бюджетных средств освоено 197,69 млн руб. </w:t>
      </w:r>
    </w:p>
    <w:p>
      <w:pPr>
        <w:ind w:firstLine="720"/>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Cs/>
          <w:color w:val="000000"/>
          <w:sz w:val="24"/>
          <w:szCs w:val="24"/>
        </w:rPr>
      </w:pPr>
      <w:r>
        <w:rPr>
          <w:bCs/>
          <w:color w:val="000000"/>
          <w:sz w:val="24"/>
          <w:szCs w:val="24"/>
        </w:rPr>
        <w:t>В большей степени, рост объёмов привлечённых в Анжеро-Судженск инвестиций обусловлен реализацией Яйским нефтеперерабатывающим заводом крупного инвестиционного проекта по строительству третьей очереди развития предприятия. На его долю приходится порядка 80% всех привлечённых инвестиций. Но в тоже время, в текущем году, на территории Анжеро-Судженского городского округа реализуются и другие инвестиционные проекты, а именно:</w:t>
      </w:r>
    </w:p>
    <w:p>
      <w:pPr>
        <w:ind w:firstLine="720"/>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Cs/>
          <w:color w:val="000000"/>
          <w:sz w:val="24"/>
          <w:szCs w:val="24"/>
        </w:rPr>
      </w:pPr>
      <w:r>
        <w:rPr>
          <w:bCs/>
          <w:color w:val="000000"/>
          <w:sz w:val="24"/>
          <w:szCs w:val="24"/>
        </w:rPr>
        <w:t xml:space="preserve">1. ООО «АФПК» (Анжерский фанерно-плитный комбинат) - проект по созданию производства широкоформатной фанеры.  Начальные инвестиционные вложения составят 15 млн. рублей, при этом будет создано 50 новых рабочих мест. На 4 квартал планируется начало работ по установке и настройке оборудования, ремонтные работы в котельной, а также установка сушильных камер. Реализация инвестиционного проекта временно приостановлена собственником (на срок 6 месяцев). </w:t>
      </w:r>
    </w:p>
    <w:p>
      <w:pPr>
        <w:ind w:firstLine="720"/>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Cs/>
          <w:color w:val="000000"/>
          <w:sz w:val="24"/>
          <w:szCs w:val="24"/>
        </w:rPr>
      </w:pPr>
      <w:r>
        <w:rPr>
          <w:bCs/>
          <w:color w:val="000000"/>
          <w:sz w:val="24"/>
          <w:szCs w:val="24"/>
        </w:rPr>
        <w:t>2. ООО «Ресурс» - создание нового предприятия по добыче строительного камня. Планируемый объем инвестиций - 9 млн рублей. Будет создано 18 новых рабочих мест. 14.02.2024 года компанией был получен статус резидента ТОР «Анжеро-Судженск». Предприятие ведет деятельность.</w:t>
      </w:r>
    </w:p>
    <w:p>
      <w:pPr>
        <w:ind w:firstLine="720"/>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Cs/>
          <w:color w:val="000000"/>
          <w:sz w:val="24"/>
          <w:szCs w:val="24"/>
        </w:rPr>
      </w:pPr>
      <w:r>
        <w:rPr>
          <w:bCs/>
          <w:color w:val="000000"/>
          <w:sz w:val="24"/>
          <w:szCs w:val="24"/>
        </w:rPr>
        <w:t>3. ООО «ЦОД – Алгоритм» - создание Центра обработки данных. Планируемый объем инвестиций - 150 млн рублей. Будет создано 30 новых рабочих мест. Предприятие ведет деятельность.</w:t>
      </w:r>
    </w:p>
    <w:p>
      <w:pPr>
        <w:ind w:firstLine="720"/>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Cs/>
          <w:color w:val="000000"/>
          <w:sz w:val="24"/>
          <w:szCs w:val="24"/>
        </w:rPr>
      </w:pPr>
      <w:r>
        <w:rPr>
          <w:bCs/>
          <w:color w:val="000000"/>
          <w:sz w:val="24"/>
          <w:szCs w:val="24"/>
        </w:rPr>
        <w:t>4. ООО «Кузбасс Карго» - «Строительство логистического центра». Планируемый объём инвестиций 300 млн. рублей. Предполагается создание 15 новых рабочих мест (предварительно). Текущая деятельность на сегодняшний день - подготовлены инженерные изыскания по проекту строительства логистического центра, проекта автомобильной дороги, проекта примыкания к ж/д путям.</w:t>
      </w:r>
    </w:p>
    <w:p>
      <w:pPr>
        <w:spacing/>
        <w:contextualSpacing/>
        <w:jc w:val="center"/>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color w:val="000000"/>
          <w:sz w:val="24"/>
          <w:szCs w:val="24"/>
        </w:rPr>
      </w:pPr>
      <w:r>
        <w:rPr>
          <w:b/>
          <w:color w:val="000000"/>
          <w:sz w:val="24"/>
          <w:szCs w:val="24"/>
        </w:rPr>
      </w:r>
    </w:p>
    <w:p>
      <w:pPr>
        <w:spacing/>
        <w:contextualSpacing/>
        <w:jc w:val="center"/>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color w:val="000000"/>
          <w:sz w:val="24"/>
          <w:szCs w:val="24"/>
        </w:rPr>
      </w:pPr>
      <w:r>
        <w:rPr>
          <w:b/>
          <w:color w:val="000000"/>
          <w:sz w:val="24"/>
          <w:szCs w:val="24"/>
        </w:rPr>
        <w:t>4. СТРОИТЕЛЬСТВО И УЛУЧШЕНИЕ ЖИЛИЩНЫХ УСЛОВИЙ</w:t>
      </w:r>
    </w:p>
    <w:p>
      <w:pPr>
        <w:ind w:firstLine="720"/>
        <w:spacing/>
        <w:contextualSpacing/>
        <w:jc w:val="both"/>
        <w:widowControl/>
        <w:rPr>
          <w:rFonts w:eastAsia="Calibri"/>
          <w:color w:val="000000"/>
          <w:sz w:val="24"/>
          <w:szCs w:val="24"/>
          <w:lang w:eastAsia="en-us"/>
        </w:rPr>
      </w:pPr>
      <w:r>
        <w:rPr>
          <w:rFonts w:eastAsia="Calibri"/>
          <w:color w:val="000000"/>
          <w:sz w:val="24"/>
          <w:szCs w:val="24"/>
          <w:lang w:eastAsia="en-us"/>
        </w:rPr>
      </w:r>
    </w:p>
    <w:p>
      <w:pPr>
        <w:ind w:firstLine="709"/>
        <w:spacing/>
        <w:contextualSpacing/>
        <w:jc w:val="both"/>
        <w:widowControl/>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Cs/>
          <w:color w:val="000000"/>
          <w:sz w:val="24"/>
          <w:szCs w:val="24"/>
        </w:rPr>
      </w:pPr>
      <w:r>
        <w:rPr>
          <w:bCs/>
          <w:color w:val="000000"/>
          <w:sz w:val="24"/>
          <w:szCs w:val="24"/>
        </w:rPr>
        <w:t>В 2025 году на территории Анжеро-Судженского городского округа введено 6 925 кв м жилья. Структура введённого в отчётном периоде жилья сложилась следующим образом:</w:t>
      </w:r>
    </w:p>
    <w:p>
      <w:pPr>
        <w:ind w:firstLine="720"/>
        <w:spacing/>
        <w:contextualSpacing/>
        <w:jc w:val="both"/>
        <w:widowControl/>
        <w:rPr>
          <w:bCs/>
          <w:color w:val="000000"/>
          <w:sz w:val="24"/>
          <w:szCs w:val="24"/>
        </w:rPr>
      </w:pPr>
      <w:r>
        <w:rPr>
          <w:bCs/>
          <w:color w:val="000000"/>
          <w:sz w:val="24"/>
          <w:szCs w:val="24"/>
        </w:rPr>
        <w:t>-населением за счёт собственных средств построено индивидуального жилищного строительства общей площадью 5210 кв. м.;</w:t>
      </w:r>
    </w:p>
    <w:p>
      <w:pPr>
        <w:ind w:firstLine="720"/>
        <w:spacing/>
        <w:contextualSpacing/>
        <w:jc w:val="both"/>
        <w:widowControl/>
        <w:rPr>
          <w:bCs/>
          <w:color w:val="000000"/>
          <w:sz w:val="24"/>
          <w:szCs w:val="24"/>
        </w:rPr>
      </w:pPr>
      <w:r>
        <w:rPr>
          <w:bCs/>
          <w:color w:val="000000"/>
          <w:sz w:val="24"/>
          <w:szCs w:val="24"/>
        </w:rPr>
        <w:t xml:space="preserve">-введён в эксплуатацию 45 квартирный жилой дом, расположенный по адресу ул. К. Маркса, 3Б, общей площадью 1715 квадратных метров. </w:t>
      </w:r>
    </w:p>
    <w:p>
      <w:pPr>
        <w:spacing/>
        <w:contextualSpacing/>
        <w:jc w:val="both"/>
        <w:tabs defTabSz="720">
          <w:tab w:val="left" w:pos="741" w:leader="none"/>
        </w:tabs>
        <w:rPr>
          <w:color w:val="000000"/>
          <w:sz w:val="24"/>
          <w:szCs w:val="24"/>
        </w:rPr>
      </w:pPr>
      <w:r>
        <w:rPr>
          <w:color w:val="000000"/>
          <w:sz w:val="24"/>
          <w:szCs w:val="24"/>
        </w:rPr>
        <w:t xml:space="preserve">       Кроме того, за отчётный период уже улучшили свои жилищные условия следующие категории граждан:</w:t>
      </w:r>
    </w:p>
    <w:p>
      <w:pPr>
        <w:ind w:firstLine="737"/>
        <w:spacing/>
        <w:jc w:val="both"/>
        <w:widowControl/>
        <w:tabs defTabSz="720">
          <w:tab w:val="left" w:pos="-57"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szCs w:val="24"/>
        </w:rPr>
      </w:pPr>
      <w:r>
        <w:rPr>
          <w:color w:val="000000"/>
          <w:sz w:val="24"/>
          <w:szCs w:val="24"/>
        </w:rPr>
        <w:t xml:space="preserve">-дети, оставшиеся </w:t>
      </w:r>
      <w:r>
        <w:rPr>
          <w:b/>
          <w:bCs/>
          <w:color w:val="000000"/>
          <w:sz w:val="24"/>
          <w:szCs w:val="24"/>
        </w:rPr>
        <w:t>без попечения родителей</w:t>
      </w:r>
      <w:r>
        <w:rPr>
          <w:color w:val="000000"/>
          <w:sz w:val="24"/>
          <w:szCs w:val="24"/>
        </w:rPr>
        <w:t xml:space="preserve"> - выдано 12 жилищных сертификатов;</w:t>
      </w:r>
    </w:p>
    <w:p>
      <w:pPr>
        <w:ind w:firstLine="737"/>
        <w:spacing/>
        <w:jc w:val="both"/>
        <w:widowControl/>
        <w:tabs defTabSz="720">
          <w:tab w:val="left" w:pos="-57"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szCs w:val="24"/>
        </w:rPr>
      </w:pPr>
      <w:r>
        <w:rPr>
          <w:color w:val="000000"/>
          <w:sz w:val="24"/>
          <w:szCs w:val="24"/>
        </w:rPr>
        <w:t>-дети, оставшиеся</w:t>
      </w:r>
      <w:r>
        <w:rPr>
          <w:b/>
          <w:bCs/>
          <w:color w:val="000000"/>
          <w:sz w:val="24"/>
          <w:szCs w:val="24"/>
        </w:rPr>
        <w:t xml:space="preserve"> без попечения родителей</w:t>
      </w:r>
      <w:r>
        <w:rPr>
          <w:color w:val="000000"/>
          <w:sz w:val="24"/>
          <w:szCs w:val="24"/>
        </w:rPr>
        <w:t xml:space="preserve"> - предоставлено 41 жилое помещение;</w:t>
      </w:r>
    </w:p>
    <w:p>
      <w:pPr>
        <w:ind w:firstLine="737"/>
        <w:spacing/>
        <w:jc w:val="both"/>
        <w:widowControl/>
        <w:tabs defTabSz="720">
          <w:tab w:val="left" w:pos="-57"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szCs w:val="24"/>
        </w:rPr>
      </w:pPr>
      <w:r>
        <w:rPr>
          <w:color w:val="000000"/>
          <w:sz w:val="24"/>
          <w:szCs w:val="24"/>
        </w:rPr>
        <w:t>-</w:t>
      </w:r>
      <w:r>
        <w:rPr>
          <w:b/>
          <w:bCs/>
          <w:color w:val="000000"/>
          <w:sz w:val="24"/>
          <w:szCs w:val="24"/>
        </w:rPr>
        <w:t>молодая семья</w:t>
      </w:r>
      <w:r>
        <w:rPr>
          <w:color w:val="000000"/>
          <w:sz w:val="24"/>
          <w:szCs w:val="24"/>
        </w:rPr>
        <w:t xml:space="preserve"> - выдано 2 жилищных сертификата;</w:t>
      </w:r>
    </w:p>
    <w:p>
      <w:pPr>
        <w:ind w:firstLine="737"/>
        <w:spacing/>
        <w:jc w:val="both"/>
        <w:widowControl/>
        <w:tabs defTabSz="720">
          <w:tab w:val="left" w:pos="-57"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szCs w:val="24"/>
        </w:rPr>
      </w:pPr>
      <w:r>
        <w:rPr>
          <w:color w:val="000000"/>
          <w:sz w:val="24"/>
          <w:szCs w:val="24"/>
        </w:rPr>
        <w:t>-по 185ФЗ  - получили выплаты 33 семьи.</w:t>
      </w:r>
    </w:p>
    <w:p>
      <w:pPr>
        <w:ind w:firstLine="737"/>
        <w:spacing/>
        <w:jc w:val="both"/>
        <w:widowControl/>
        <w:tabs defTabSz="720">
          <w:tab w:val="left" w:pos="-57"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szCs w:val="24"/>
        </w:rPr>
      </w:pPr>
      <w:r>
        <w:rPr>
          <w:color w:val="000000"/>
          <w:sz w:val="24"/>
          <w:szCs w:val="24"/>
        </w:rPr>
        <w:t>-</w:t>
      </w:r>
      <w:r>
        <w:rPr>
          <w:b/>
          <w:bCs/>
          <w:color w:val="000000"/>
          <w:sz w:val="24"/>
          <w:szCs w:val="24"/>
        </w:rPr>
        <w:t>ГУРШ</w:t>
      </w:r>
      <w:r>
        <w:rPr>
          <w:color w:val="000000"/>
          <w:sz w:val="24"/>
          <w:szCs w:val="24"/>
        </w:rPr>
        <w:t xml:space="preserve"> (</w:t>
      </w:r>
      <w:r>
        <w:rPr>
          <w:i/>
          <w:iCs/>
          <w:color w:val="000000"/>
          <w:sz w:val="24"/>
          <w:szCs w:val="24"/>
        </w:rPr>
        <w:t>переселение из жилья, находящегося на подработанных территориях ликвидированных шахт города</w:t>
      </w:r>
      <w:r>
        <w:rPr>
          <w:color w:val="000000"/>
          <w:sz w:val="24"/>
          <w:szCs w:val="24"/>
        </w:rPr>
        <w:t>) – выделены денежные средства 45 семьям.</w:t>
      </w:r>
      <w:r>
        <w:rPr>
          <w:color w:val="000000"/>
          <w:sz w:val="24"/>
          <w:szCs w:val="24"/>
        </w:rPr>
      </w:r>
    </w:p>
    <w:p>
      <w:pPr>
        <w:spacing/>
        <w:contextualSpacing/>
        <w:jc w:val="both"/>
        <w:rPr>
          <w:color w:val="000000"/>
          <w:sz w:val="24"/>
          <w:szCs w:val="24"/>
        </w:rPr>
      </w:pPr>
      <w:r>
        <w:rPr>
          <w:color w:val="000000"/>
          <w:sz w:val="24"/>
          <w:szCs w:val="24"/>
        </w:rPr>
      </w:r>
    </w:p>
    <w:p>
      <w:pPr>
        <w:spacing/>
        <w:contextualSpacing/>
        <w:jc w:val="center"/>
        <w:widowControl/>
        <w:rPr>
          <w:rFonts w:eastAsia="Calibri"/>
          <w:color w:val="000000"/>
          <w:sz w:val="24"/>
          <w:szCs w:val="24"/>
          <w:lang w:eastAsia="en-us"/>
        </w:rPr>
      </w:pPr>
      <w:r>
        <w:rPr>
          <w:rFonts w:eastAsia="Calibri"/>
          <w:color w:val="000000"/>
          <w:sz w:val="24"/>
          <w:szCs w:val="24"/>
          <w:lang w:eastAsia="en-us"/>
        </w:rPr>
      </w:r>
    </w:p>
    <w:p>
      <w:pPr>
        <w:spacing/>
        <w:contextualSpacing/>
        <w:jc w:val="center"/>
        <w:widowControl/>
        <w:rPr>
          <w:b/>
          <w:color w:val="000000"/>
          <w:sz w:val="24"/>
          <w:szCs w:val="24"/>
        </w:rPr>
      </w:pPr>
      <w:r>
        <w:rPr>
          <w:b/>
          <w:color w:val="000000"/>
          <w:sz w:val="24"/>
          <w:szCs w:val="24"/>
        </w:rPr>
        <w:t>5. МАЛЫЙ И СРЕДНИЙ БИЗНЕС</w:t>
      </w:r>
    </w:p>
    <w:p>
      <w:pPr>
        <w:ind w:firstLine="720"/>
        <w:spacing/>
        <w:contextualSpacing/>
        <w:jc w:val="both"/>
        <w:widowControl/>
        <w:rPr>
          <w:rFonts w:eastAsia="Calibri"/>
          <w:color w:val="000000"/>
          <w:sz w:val="24"/>
          <w:szCs w:val="24"/>
        </w:rPr>
      </w:pPr>
      <w:r>
        <w:rPr>
          <w:rFonts w:eastAsia="Calibri"/>
          <w:color w:val="000000"/>
          <w:sz w:val="24"/>
          <w:szCs w:val="24"/>
        </w:rPr>
      </w:r>
    </w:p>
    <w:p>
      <w:pPr>
        <w:ind w:firstLine="720"/>
        <w:spacing/>
        <w:jc w:val="both"/>
        <w:rPr>
          <w:color w:val="000000"/>
          <w:sz w:val="24"/>
          <w:szCs w:val="24"/>
        </w:rPr>
      </w:pPr>
      <w:r>
        <w:rPr>
          <w:color w:val="000000"/>
          <w:sz w:val="24"/>
          <w:szCs w:val="24"/>
        </w:rPr>
        <w:t>На 01.01.2026 год по данным единого реестра субъектов малого и среднего предпринимательства фактическое число субъектов малого и среднего предпринимательства по Анжеро-Судженскому городскому округу составило 1163 единицы.</w:t>
      </w:r>
    </w:p>
    <w:p>
      <w:pPr>
        <w:ind w:firstLine="720"/>
        <w:spacing/>
        <w:jc w:val="both"/>
        <w:rPr>
          <w:color w:val="000000"/>
          <w:sz w:val="24"/>
          <w:szCs w:val="24"/>
        </w:rPr>
      </w:pPr>
      <w:r>
        <w:rPr>
          <w:color w:val="000000"/>
          <w:sz w:val="24"/>
          <w:szCs w:val="24"/>
        </w:rPr>
        <w:t xml:space="preserve">В целях популяризации предпринимательской деятельности на постоянной основе размещаются информационные материалы в средствах массовой информации по вопросам предпринимательской деятельности. За  2025 год в СМИ размещено 94 публикации. </w:t>
      </w:r>
    </w:p>
    <w:p>
      <w:pPr>
        <w:ind w:firstLine="720"/>
        <w:spacing/>
        <w:jc w:val="both"/>
        <w:rPr>
          <w:color w:val="000000"/>
          <w:sz w:val="24"/>
          <w:szCs w:val="24"/>
        </w:rPr>
      </w:pPr>
      <w:r>
        <w:rPr>
          <w:color w:val="000000"/>
          <w:sz w:val="24"/>
          <w:szCs w:val="24"/>
        </w:rPr>
        <w:t>За отчётный период субъектами малого и среднего предпринимательства создано 354 новых рабочих места из них индивидуальными предпринимателями- 340, малыми и средними - 14.</w:t>
      </w:r>
    </w:p>
    <w:p>
      <w:pPr>
        <w:ind w:firstLine="720"/>
        <w:spacing/>
        <w:jc w:val="both"/>
        <w:rPr>
          <w:color w:val="000000"/>
          <w:sz w:val="24"/>
          <w:szCs w:val="24"/>
        </w:rPr>
      </w:pPr>
      <w:r>
        <w:rPr>
          <w:color w:val="000000"/>
          <w:sz w:val="24"/>
          <w:szCs w:val="24"/>
        </w:rPr>
        <w:t xml:space="preserve">За 2025 год, в центре поддержки предпринимательства, получили консультации по различным вопросам 250 субъектов малого и среднего предпринимательства, а именно: </w:t>
      </w:r>
    </w:p>
    <w:p>
      <w:pPr>
        <w:ind w:firstLine="720"/>
        <w:spacing/>
        <w:jc w:val="both"/>
        <w:rPr>
          <w:color w:val="000000"/>
          <w:sz w:val="24"/>
          <w:szCs w:val="24"/>
        </w:rPr>
      </w:pPr>
      <w:r>
        <w:rPr>
          <w:color w:val="000000"/>
          <w:sz w:val="24"/>
          <w:szCs w:val="24"/>
        </w:rPr>
        <w:t xml:space="preserve">-регистрация новых СМСП, </w:t>
      </w:r>
    </w:p>
    <w:p>
      <w:pPr>
        <w:ind w:firstLine="720"/>
        <w:spacing/>
        <w:jc w:val="both"/>
        <w:rPr>
          <w:color w:val="000000"/>
          <w:sz w:val="24"/>
          <w:szCs w:val="24"/>
        </w:rPr>
      </w:pPr>
      <w:r>
        <w:rPr>
          <w:color w:val="000000"/>
          <w:sz w:val="24"/>
          <w:szCs w:val="24"/>
        </w:rPr>
        <w:t xml:space="preserve">-выбор основных видов экономической деятельности, </w:t>
      </w:r>
    </w:p>
    <w:p>
      <w:pPr>
        <w:ind w:firstLine="720"/>
        <w:spacing/>
        <w:jc w:val="both"/>
        <w:rPr>
          <w:color w:val="000000"/>
          <w:sz w:val="24"/>
          <w:szCs w:val="24"/>
        </w:rPr>
      </w:pPr>
      <w:r>
        <w:rPr>
          <w:color w:val="000000"/>
          <w:sz w:val="24"/>
          <w:szCs w:val="24"/>
        </w:rPr>
        <w:t xml:space="preserve">-подача заявок на получение льготных кредитов и займов, </w:t>
      </w:r>
    </w:p>
    <w:p>
      <w:pPr>
        <w:ind w:firstLine="720"/>
        <w:spacing/>
        <w:jc w:val="both"/>
        <w:rPr>
          <w:color w:val="000000"/>
          <w:sz w:val="24"/>
          <w:szCs w:val="24"/>
        </w:rPr>
      </w:pPr>
      <w:r>
        <w:rPr>
          <w:color w:val="000000"/>
          <w:sz w:val="24"/>
          <w:szCs w:val="24"/>
        </w:rPr>
        <w:t>-оказание финансовой поддержки предпринимателям.</w:t>
      </w:r>
    </w:p>
    <w:p>
      <w:pPr>
        <w:ind w:firstLine="720"/>
        <w:spacing/>
        <w:jc w:val="both"/>
        <w:rPr>
          <w:color w:val="000000"/>
          <w:sz w:val="24"/>
          <w:szCs w:val="24"/>
        </w:rPr>
      </w:pPr>
      <w:r>
        <w:rPr>
          <w:color w:val="000000"/>
          <w:sz w:val="24"/>
          <w:szCs w:val="24"/>
        </w:rPr>
        <w:t>За  2025 год проведено 15 совещаний с участием субъектов малого и среднего предпринимательства.</w:t>
      </w:r>
    </w:p>
    <w:p>
      <w:pPr>
        <w:ind w:firstLine="720"/>
        <w:spacing/>
        <w:jc w:val="both"/>
        <w:rPr>
          <w:color w:val="000000"/>
          <w:sz w:val="24"/>
          <w:szCs w:val="24"/>
        </w:rPr>
      </w:pPr>
      <w:r>
        <w:rPr>
          <w:color w:val="000000"/>
          <w:sz w:val="24"/>
          <w:szCs w:val="24"/>
        </w:rPr>
        <w:t>В Анжеро-Судженском городском округе в 2025 году реализуется 1 региональный проект:</w:t>
      </w:r>
    </w:p>
    <w:p>
      <w:pPr>
        <w:ind w:firstLine="720"/>
        <w:spacing/>
        <w:jc w:val="both"/>
        <w:rPr>
          <w:color w:val="000000"/>
          <w:sz w:val="24"/>
          <w:szCs w:val="24"/>
        </w:rPr>
      </w:pPr>
      <w:r>
        <w:rPr>
          <w:color w:val="000000"/>
          <w:sz w:val="24"/>
          <w:szCs w:val="24"/>
        </w:rPr>
        <w:t xml:space="preserve">1. Малое и среднее предпринимательство. </w:t>
      </w:r>
    </w:p>
    <w:p>
      <w:pPr>
        <w:ind w:firstLine="720"/>
        <w:spacing/>
        <w:jc w:val="both"/>
        <w:rPr>
          <w:color w:val="000000"/>
          <w:sz w:val="24"/>
          <w:szCs w:val="24"/>
        </w:rPr>
      </w:pPr>
      <w:r>
        <w:rPr>
          <w:color w:val="000000"/>
          <w:sz w:val="24"/>
          <w:szCs w:val="24"/>
        </w:rPr>
        <w:t>Министерством экономического развития Кузбасса предоставляется финансовая поддержка в виде грантов по двум направлениям: молодым предпринимателям, в возрасте до 25 лет включительно и субъектам МСП, включённым в реестр социальных предпринимателей. Во втором случае основное условие получения гранта – нахождение в реестре социальных предпринимателей.</w:t>
      </w:r>
    </w:p>
    <w:p>
      <w:pPr>
        <w:ind w:firstLine="720"/>
        <w:spacing/>
        <w:jc w:val="both"/>
        <w:rPr>
          <w:color w:val="000000"/>
          <w:sz w:val="24"/>
          <w:szCs w:val="24"/>
        </w:rPr>
      </w:pPr>
      <w:r>
        <w:rPr>
          <w:color w:val="000000"/>
          <w:sz w:val="24"/>
          <w:szCs w:val="24"/>
        </w:rPr>
        <w:t xml:space="preserve">Финансирование региональных проектов происходит через областные организации («Государственный фонд поддержки предпринимательства», «Мой бизнес», «Центр поддержки экспорта Кузбасса»). На муниципальном уровне обеспечивается исключительно информационная и консультационная поддержка. Для этого сформирована система информирования предпринимательского сектора, в который входят: сайт администрации города (раздел «Малый бизнес»), информационный стенд для предпринимателей, подключены к этой работе и городские средства массовой информации (газеты «Наш город», Анжерское телевидение и радио), в мессенджерах WhatsApp, Telegram созданы группы «Анжерские предприниматели», в соц.сетях В контакте </w:t>
      </w:r>
      <w:hyperlink r:id="rId8" w:history="1">
        <w:r>
          <w:rPr>
            <w:rStyle w:val="char17"/>
            <w:color w:val="000000"/>
            <w:sz w:val="24"/>
            <w:szCs w:val="24"/>
          </w:rPr>
          <w:t>https://vk.com/anzherobussines</w:t>
        </w:r>
      </w:hyperlink>
      <w:r>
        <w:rPr>
          <w:color w:val="000000"/>
          <w:sz w:val="24"/>
          <w:szCs w:val="24"/>
        </w:rPr>
        <w:t>.</w:t>
      </w:r>
      <w:r>
        <w:rPr>
          <w:color w:val="000000"/>
          <w:sz w:val="24"/>
          <w:szCs w:val="24"/>
        </w:rPr>
      </w:r>
    </w:p>
    <w:p>
      <w:pPr>
        <w:ind w:firstLine="720"/>
        <w:spacing/>
        <w:jc w:val="both"/>
        <w:rPr>
          <w:color w:val="000000"/>
          <w:sz w:val="24"/>
          <w:szCs w:val="24"/>
        </w:rPr>
      </w:pPr>
      <w:r>
        <w:rPr>
          <w:color w:val="000000"/>
          <w:sz w:val="24"/>
          <w:szCs w:val="24"/>
        </w:rPr>
      </w:r>
    </w:p>
    <w:p>
      <w:pPr>
        <w:ind w:firstLine="720"/>
        <w:spacing/>
        <w:jc w:val="both"/>
        <w:rPr>
          <w:color w:val="000000"/>
          <w:sz w:val="24"/>
          <w:szCs w:val="24"/>
        </w:rPr>
      </w:pPr>
      <w:r>
        <w:rPr>
          <w:color w:val="000000"/>
          <w:sz w:val="24"/>
          <w:szCs w:val="24"/>
        </w:rPr>
      </w:r>
    </w:p>
    <w:p>
      <w:pPr>
        <w:ind w:firstLine="720"/>
        <w:spacing/>
        <w:jc w:val="both"/>
        <w:rPr>
          <w:color w:val="000000"/>
          <w:sz w:val="24"/>
          <w:szCs w:val="24"/>
        </w:rPr>
      </w:pPr>
      <w:r>
        <w:rPr>
          <w:color w:val="000000"/>
          <w:sz w:val="24"/>
          <w:szCs w:val="24"/>
        </w:rPr>
      </w:r>
    </w:p>
    <w:p>
      <w:pPr>
        <w:ind w:firstLine="720"/>
        <w:spacing/>
        <w:jc w:val="both"/>
        <w:rPr>
          <w:color w:val="000000"/>
          <w:sz w:val="24"/>
          <w:szCs w:val="24"/>
        </w:rPr>
      </w:pPr>
      <w:r>
        <w:rPr>
          <w:color w:val="000000"/>
          <w:sz w:val="24"/>
          <w:szCs w:val="24"/>
        </w:rPr>
      </w:r>
    </w:p>
    <w:p>
      <w:pPr>
        <w:ind w:firstLine="708"/>
        <w:spacing/>
        <w:contextualSpacing/>
        <w:jc w:val="center"/>
        <w:widowControl/>
        <w:rPr>
          <w:b/>
          <w:color w:val="000000"/>
          <w:sz w:val="24"/>
          <w:szCs w:val="24"/>
        </w:rPr>
      </w:pPr>
      <w:r>
        <w:rPr>
          <w:b/>
          <w:color w:val="000000"/>
          <w:sz w:val="24"/>
          <w:szCs w:val="24"/>
        </w:rPr>
        <w:t>6. ФИНАНСЫ И НАЛОГОВЫЕ ПОСТУПЛЕНИЯ</w:t>
      </w:r>
    </w:p>
    <w:p>
      <w:pPr>
        <w:ind w:firstLine="708"/>
        <w:spacing/>
        <w:contextualSpacing/>
        <w:jc w:val="center"/>
        <w:widowControl/>
        <w:rPr>
          <w:b/>
          <w:bCs/>
          <w:color w:val="000000"/>
          <w:spacing w:val="-1" w:percent="99"/>
          <w:sz w:val="24"/>
          <w:szCs w:val="24"/>
        </w:rPr>
      </w:pPr>
      <w:r>
        <w:rPr>
          <w:b/>
          <w:bCs/>
          <w:color w:val="000000"/>
          <w:spacing w:val="-1" w:percent="99"/>
          <w:sz w:val="24"/>
          <w:szCs w:val="24"/>
        </w:rPr>
      </w:r>
    </w:p>
    <w:p>
      <w:pPr>
        <w:ind w:firstLine="709"/>
        <w:spacing/>
        <w:contextualSpacing/>
        <w:jc w:val="center"/>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eastAsia="Calibri"/>
          <w:color w:val="000000"/>
          <w:sz w:val="24"/>
          <w:szCs w:val="24"/>
        </w:rPr>
      </w:pPr>
      <w:r>
        <w:rPr>
          <w:b/>
          <w:bCs/>
          <w:color w:val="000000"/>
          <w:spacing w:val="-1" w:percent="99"/>
          <w:sz w:val="24"/>
          <w:szCs w:val="24"/>
        </w:rPr>
        <w:t xml:space="preserve">6.1. </w:t>
      </w:r>
      <w:r>
        <w:rPr>
          <w:b/>
          <w:color w:val="000000"/>
          <w:sz w:val="24"/>
          <w:szCs w:val="24"/>
        </w:rPr>
        <w:t xml:space="preserve">Финансовая деятельность организаций </w:t>
      </w:r>
      <w:r>
        <w:rPr>
          <w:rFonts w:eastAsia="Calibri"/>
          <w:color w:val="000000"/>
          <w:sz w:val="24"/>
          <w:szCs w:val="24"/>
        </w:rPr>
      </w:r>
    </w:p>
    <w:p>
      <w:pPr>
        <w:ind w:firstLine="720"/>
        <w:spacing/>
        <w:contextualSpacing/>
        <w:jc w:val="both"/>
        <w:widowControl/>
        <w:rPr>
          <w:rFonts w:eastAsia="Calibri"/>
          <w:color w:val="000000"/>
          <w:sz w:val="24"/>
          <w:szCs w:val="24"/>
        </w:rPr>
      </w:pPr>
      <w:r>
        <w:rPr>
          <w:rFonts w:eastAsia="Calibri"/>
          <w:color w:val="000000"/>
          <w:sz w:val="24"/>
          <w:szCs w:val="24"/>
        </w:rPr>
      </w:r>
    </w:p>
    <w:p>
      <w:pPr>
        <w:ind w:firstLine="720"/>
        <w:spacing/>
        <w:contextualSpacing/>
        <w:jc w:val="both"/>
        <w:widowControl/>
        <w:rPr>
          <w:rFonts w:eastAsia="Calibri"/>
          <w:color w:val="000000"/>
          <w:sz w:val="24"/>
          <w:szCs w:val="24"/>
        </w:rPr>
      </w:pPr>
      <w:r>
        <w:rPr>
          <w:rFonts w:eastAsia="Calibri"/>
          <w:color w:val="000000"/>
          <w:sz w:val="24"/>
          <w:szCs w:val="24"/>
        </w:rPr>
        <w:t xml:space="preserve">По итогам работы за 2025 года экономика муниципального образования имела отрицательный финансовый результат деятельности хозяйствующих субъектов. </w:t>
      </w:r>
    </w:p>
    <w:p>
      <w:pPr>
        <w:ind w:firstLine="720"/>
        <w:spacing/>
        <w:contextualSpacing/>
        <w:jc w:val="both"/>
        <w:widowControl/>
        <w:rPr>
          <w:rFonts w:eastAsia="Calibri"/>
          <w:color w:val="000000"/>
          <w:sz w:val="24"/>
          <w:szCs w:val="24"/>
        </w:rPr>
      </w:pPr>
      <w:r>
        <w:rPr>
          <w:rFonts w:eastAsia="Calibri"/>
          <w:color w:val="000000"/>
          <w:sz w:val="24"/>
          <w:szCs w:val="24"/>
        </w:rPr>
        <w:t>Сальдированный финансовый результат по основным видам экономической деятельности крупных и средних предприятий за 2025 года – убытки в размере 266,7 млн. руб.</w:t>
      </w:r>
    </w:p>
    <w:p>
      <w:pPr>
        <w:ind w:firstLine="720"/>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eastAsia="Calibri"/>
          <w:color w:val="000000"/>
          <w:sz w:val="24"/>
          <w:szCs w:val="24"/>
        </w:rPr>
      </w:pPr>
      <w:r>
        <w:rPr>
          <w:rFonts w:eastAsia="Calibri"/>
          <w:color w:val="000000"/>
          <w:sz w:val="24"/>
          <w:szCs w:val="24"/>
        </w:rPr>
        <w:t xml:space="preserve">Доля убыточных предприятий составила 62,5 %, величина их убытков составила 890,8 млн. руб. </w:t>
      </w:r>
    </w:p>
    <w:p>
      <w:pPr>
        <w:ind w:firstLine="720"/>
        <w:spacing/>
        <w:contextualSpacing/>
        <w:jc w:val="both"/>
        <w:widowControl/>
        <w:rPr>
          <w:rFonts w:eastAsia="Calibri"/>
          <w:color w:val="000000"/>
          <w:sz w:val="24"/>
          <w:szCs w:val="24"/>
        </w:rPr>
      </w:pPr>
      <w:r>
        <w:rPr>
          <w:rFonts w:eastAsia="Calibri"/>
          <w:color w:val="000000"/>
          <w:sz w:val="24"/>
          <w:szCs w:val="24"/>
        </w:rPr>
        <w:t xml:space="preserve">Доля прибыльных предприятий соответственно составила 37,5%. </w:t>
      </w:r>
    </w:p>
    <w:p>
      <w:pPr>
        <w:ind w:firstLine="720"/>
        <w:spacing/>
        <w:contextualSpacing/>
        <w:jc w:val="both"/>
        <w:widowControl/>
        <w:rPr>
          <w:rFonts w:eastAsia="Calibri"/>
          <w:color w:val="000000"/>
          <w:sz w:val="24"/>
          <w:szCs w:val="24"/>
        </w:rPr>
      </w:pPr>
      <w:r>
        <w:rPr>
          <w:rFonts w:eastAsia="Calibri"/>
          <w:color w:val="000000"/>
          <w:sz w:val="24"/>
          <w:szCs w:val="24"/>
        </w:rPr>
        <w:t>Кредиторская задолженность в сравнении с началом года (на 01.01.2025 – 45 525,9 млн. руб.) увеличилась на 1,3 % и составила на конец анализируемого периода – 46 098,2 млн. руб. при этом доля просроченной задолженности в общем объёме задолженности составила 0,4%.</w:t>
      </w:r>
    </w:p>
    <w:p>
      <w:pPr>
        <w:ind w:firstLine="720"/>
        <w:spacing/>
        <w:contextualSpacing/>
        <w:jc w:val="both"/>
        <w:widowControl/>
        <w:rPr>
          <w:rFonts w:eastAsia="Calibri"/>
          <w:color w:val="000000"/>
          <w:sz w:val="24"/>
          <w:szCs w:val="24"/>
        </w:rPr>
      </w:pPr>
      <w:r>
        <w:rPr>
          <w:rFonts w:eastAsia="Calibri"/>
          <w:color w:val="000000"/>
          <w:sz w:val="24"/>
          <w:szCs w:val="24"/>
        </w:rPr>
        <w:t>Дебиторская задолженность с начала года (на 01.01.2025 –12 173,78 млн. руб.) увеличилась на 1,3% и составила на 01.01.2026 – 12 327,05 млн. руб. Удельный вес просроченных обязательств составил 0,8%.</w:t>
      </w:r>
    </w:p>
    <w:p>
      <w:pPr>
        <w:ind w:firstLine="720"/>
        <w:spacing/>
        <w:contextualSpacing/>
        <w:jc w:val="both"/>
        <w:widowControl/>
        <w:rPr>
          <w:rFonts w:eastAsia="Calibri"/>
          <w:color w:val="000000"/>
          <w:sz w:val="24"/>
          <w:szCs w:val="24"/>
        </w:rPr>
      </w:pPr>
      <w:r>
        <w:rPr>
          <w:rFonts w:eastAsia="Calibri"/>
          <w:color w:val="000000"/>
          <w:sz w:val="24"/>
          <w:szCs w:val="24"/>
        </w:rPr>
        <w:t>Кредиторская задолженность превысила дебиторскую в 3,7 раза.</w:t>
      </w:r>
    </w:p>
    <w:p>
      <w:pPr>
        <w:ind w:firstLine="720"/>
        <w:spacing/>
        <w:contextualSpacing/>
        <w:jc w:val="both"/>
        <w:widowControl/>
        <w:rPr>
          <w:rFonts w:eastAsia="Calibri"/>
          <w:color w:val="000000"/>
          <w:sz w:val="24"/>
          <w:szCs w:val="24"/>
        </w:rPr>
      </w:pPr>
      <w:r>
        <w:rPr>
          <w:rFonts w:eastAsia="Calibri"/>
          <w:color w:val="000000"/>
          <w:sz w:val="24"/>
          <w:szCs w:val="24"/>
        </w:rPr>
      </w:r>
    </w:p>
    <w:p>
      <w:pPr>
        <w:ind w:firstLine="720"/>
        <w:spacing/>
        <w:contextualSpacing/>
        <w:jc w:val="both"/>
        <w:widowControl/>
        <w:rPr>
          <w:rFonts w:eastAsia="Calibri"/>
          <w:color w:val="000000"/>
          <w:sz w:val="24"/>
          <w:szCs w:val="24"/>
        </w:rPr>
      </w:pPr>
      <w:r>
        <w:rPr>
          <w:rFonts w:eastAsia="Calibri"/>
          <w:color w:val="000000"/>
          <w:sz w:val="24"/>
          <w:szCs w:val="24"/>
        </w:rPr>
      </w:r>
    </w:p>
    <w:p>
      <w:pPr>
        <w:ind w:firstLine="720"/>
        <w:spacing/>
        <w:contextualSpacing/>
        <w:jc w:val="both"/>
        <w:widowControl/>
        <w:rPr>
          <w:rFonts w:eastAsia="Calibri"/>
          <w:color w:val="000000"/>
          <w:sz w:val="24"/>
          <w:szCs w:val="24"/>
        </w:rPr>
      </w:pPr>
      <w:r>
        <w:rPr>
          <w:rFonts w:eastAsia="Calibri"/>
          <w:color w:val="000000"/>
          <w:sz w:val="24"/>
          <w:szCs w:val="24"/>
        </w:rPr>
      </w:r>
    </w:p>
    <w:p>
      <w:pPr>
        <w:ind w:firstLine="720"/>
        <w:spacing/>
        <w:contextualSpacing/>
        <w:jc w:val="both"/>
        <w:widowControl/>
        <w:rPr>
          <w:rFonts w:eastAsia="Calibri"/>
          <w:color w:val="000000"/>
          <w:sz w:val="24"/>
          <w:szCs w:val="24"/>
        </w:rPr>
      </w:pPr>
      <w:r>
        <w:rPr>
          <w:rFonts w:eastAsia="Calibri"/>
          <w:color w:val="000000"/>
          <w:sz w:val="24"/>
          <w:szCs w:val="24"/>
        </w:rPr>
      </w:r>
    </w:p>
    <w:p>
      <w:pPr>
        <w:ind w:firstLine="720"/>
        <w:spacing/>
        <w:contextualSpacing/>
        <w:jc w:val="both"/>
        <w:widowControl/>
        <w:rPr>
          <w:rFonts w:eastAsia="Calibri"/>
          <w:color w:val="000000"/>
          <w:sz w:val="24"/>
          <w:szCs w:val="24"/>
        </w:rPr>
      </w:pPr>
      <w:r>
        <w:rPr>
          <w:rFonts w:eastAsia="Calibri"/>
          <w:color w:val="000000"/>
          <w:sz w:val="24"/>
          <w:szCs w:val="24"/>
        </w:rPr>
      </w:r>
    </w:p>
    <w:p>
      <w:pPr>
        <w:ind w:firstLine="720"/>
        <w:spacing/>
        <w:contextualSpacing/>
        <w:jc w:val="both"/>
        <w:widowControl/>
        <w:rPr>
          <w:rFonts w:eastAsia="Calibri"/>
          <w:color w:val="000000"/>
          <w:sz w:val="24"/>
          <w:szCs w:val="24"/>
        </w:rPr>
      </w:pPr>
      <w:r>
        <w:rPr>
          <w:rFonts w:eastAsia="Calibri"/>
          <w:color w:val="000000"/>
          <w:sz w:val="24"/>
          <w:szCs w:val="24"/>
        </w:rPr>
      </w:r>
    </w:p>
    <w:p>
      <w:pPr>
        <w:ind w:firstLine="720"/>
        <w:spacing/>
        <w:contextualSpacing/>
        <w:jc w:val="both"/>
        <w:widowControl/>
        <w:rPr>
          <w:rFonts w:eastAsia="Calibri"/>
          <w:color w:val="000000"/>
          <w:sz w:val="24"/>
          <w:szCs w:val="24"/>
        </w:rPr>
      </w:pPr>
      <w:r>
        <w:rPr>
          <w:rFonts w:eastAsia="Calibri"/>
          <w:color w:val="000000"/>
          <w:sz w:val="24"/>
          <w:szCs w:val="24"/>
        </w:rPr>
      </w:r>
    </w:p>
    <w:p>
      <w:pPr>
        <w:ind w:firstLine="720"/>
        <w:spacing/>
        <w:contextualSpacing/>
        <w:jc w:val="both"/>
        <w:widowControl/>
        <w:rPr>
          <w:rFonts w:eastAsia="Calibri"/>
          <w:color w:val="000000"/>
          <w:sz w:val="24"/>
          <w:szCs w:val="24"/>
        </w:rPr>
      </w:pPr>
      <w:r>
        <w:rPr>
          <w:rFonts w:eastAsia="Calibri"/>
          <w:color w:val="000000"/>
          <w:sz w:val="24"/>
          <w:szCs w:val="24"/>
        </w:rPr>
      </w:r>
    </w:p>
    <w:p>
      <w:pPr>
        <w:sectPr>
          <w:footnotePr>
            <w:pos w:val="pageBottom"/>
            <w:numFmt w:val="decimal"/>
            <w:numStart w:val="1"/>
            <w:numRestart w:val="continuous"/>
          </w:footnotePr>
          <w:endnotePr>
            <w:pos w:val="docEnd"/>
            <w:numFmt w:val="lowerRoman"/>
            <w:numStart w:val="1"/>
            <w:numRestart w:val="continuous"/>
          </w:endnotePr>
          <w:headerReference w:type="default" r:id="rId9"/>
          <w:footerReference w:type="default" r:id="rId10"/>
          <w:type w:val="nextPage"/>
          <w:pgSz w:h="16838" w:w="11906"/>
          <w:pgMar w:left="1134" w:top="1135" w:right="708" w:bottom="776" w:header="0"/>
          <w:paperSrc w:first="0" w:other="0" a="0" b="0"/>
          <w:pgNumType w:fmt="decimal"/>
          <w:tmGutter w:val="3"/>
          <w:mirrorMargins w:val="0"/>
          <w:tmSection w:h="-1">
            <w:tmHeader w:id="0" w:h="0" edge="0" text="0">
              <w:shd w:val="none"/>
            </w:tmHeader>
            <w:tmFooter w:id="0" w:h="0" edge="720"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spacing/>
        <w:contextualSpacing/>
        <w:jc w:val="center"/>
        <w:widowControl/>
        <w:rPr>
          <w:b/>
          <w:color w:val="000000"/>
          <w:sz w:val="24"/>
          <w:szCs w:val="24"/>
        </w:rPr>
      </w:pPr>
      <w:r>
        <w:rPr>
          <w:b/>
          <w:color w:val="000000"/>
          <w:sz w:val="24"/>
          <w:szCs w:val="24"/>
        </w:rPr>
        <w:tab/>
        <w:t>6.2 Бюджет города</w:t>
      </w:r>
    </w:p>
    <w:p>
      <w:pPr>
        <w:spacing/>
        <w:contextualSpacing/>
        <w:jc w:val="right"/>
        <w:widowControl/>
        <w:tabs defTabSz="720">
          <w:tab w:val="left" w:pos="8954" w:leader="none"/>
          <w:tab w:val="right" w:pos="10065" w:leader="none"/>
        </w:tabs>
        <w:rPr>
          <w:b/>
          <w:bCs/>
          <w:color w:val="000000"/>
          <w:sz w:val="24"/>
          <w:szCs w:val="24"/>
        </w:rPr>
      </w:pPr>
      <w:r>
        <w:rPr>
          <w:b/>
          <w:color w:val="000000"/>
          <w:sz w:val="24"/>
          <w:szCs w:val="24"/>
        </w:rPr>
        <w:t>тыс. руб.</w:t>
      </w:r>
      <w:r>
        <w:rPr>
          <w:b/>
          <w:bCs/>
          <w:color w:val="000000"/>
          <w:sz w:val="24"/>
          <w:szCs w:val="24"/>
        </w:rPr>
      </w:r>
    </w:p>
    <w:tbl>
      <w:tblPr>
        <w:tblStyle w:val="NormalTable"/>
        <w:name w:val="Таблица3"/>
        <w:tabOrder w:val="0"/>
        <w:jc w:val="left"/>
        <w:tblInd w:w="-10" w:type="dxa"/>
        <w:tblW w:w="15886" w:type="dxa"/>
        <w:pPr>
          <w:ind w:left="-10"/>
        </w:pPr>
        <w:tblLook w:val="0600" w:firstRow="0" w:lastRow="0" w:firstColumn="0" w:lastColumn="0" w:noHBand="1" w:noVBand="1"/>
      </w:tblPr>
      <w:tblGrid>
        <w:gridCol w:w="2995"/>
        <w:gridCol w:w="1257"/>
        <w:gridCol w:w="1261"/>
        <w:gridCol w:w="1405"/>
        <w:gridCol w:w="1404"/>
        <w:gridCol w:w="1486"/>
        <w:gridCol w:w="954"/>
        <w:gridCol w:w="1398"/>
        <w:gridCol w:w="1227"/>
        <w:gridCol w:w="1285"/>
        <w:gridCol w:w="1214"/>
      </w:tblGrid>
      <w:tr>
        <w:trPr>
          <w:tblHeader/>
          <w:cantSplit w:val="0"/>
          <w:trHeight w:val="223" w:hRule="atLeast"/>
        </w:trPr>
        <w:tc>
          <w:tcPr>
            <w:tcW w:w="2995" w:type="dxa"/>
            <w:vMerge w:val="restart"/>
            <w:vAlign w:val="center"/>
            <w:shd w:val="none"/>
            <w:tcMar>
              <w:top w:w="0" w:type="dxa"/>
              <w:left w:w="108" w:type="dxa"/>
              <w:bottom w:w="0" w:type="dxa"/>
              <w:right w:w="108" w:type="dxa"/>
            </w:tcMar>
            <w:tcBorders>
              <w:top w:val="single" w:sz="16" w:space="0" w:color="000000" tmln="4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ind w:left="-240"/>
              <w:spacing/>
              <w:contextualSpacing/>
              <w:jc w:val="center"/>
              <w:widowControl/>
              <w:rPr>
                <w:color w:val="000000"/>
              </w:rPr>
            </w:pPr>
            <w:r>
              <w:rPr>
                <w:b/>
                <w:bCs/>
                <w:color w:val="000000"/>
                <w:sz w:val="24"/>
                <w:szCs w:val="24"/>
              </w:rPr>
              <w:t>Наименование статей доходов</w:t>
            </w:r>
            <w:r>
              <w:rPr>
                <w:color w:val="000000"/>
              </w:rPr>
            </w:r>
          </w:p>
        </w:tc>
        <w:tc>
          <w:tcPr>
            <w:tcW w:w="1257" w:type="dxa"/>
            <w:vMerge w:val="restart"/>
            <w:vAlign w:val="center"/>
            <w:shd w:val="none"/>
            <w:tcMar>
              <w:top w:w="0" w:type="dxa"/>
              <w:left w:w="108" w:type="dxa"/>
              <w:bottom w:w="0" w:type="dxa"/>
              <w:right w:w="108" w:type="dxa"/>
            </w:tcMar>
            <w:tcBorders>
              <w:top w:val="single" w:sz="16" w:space="0" w:color="000000" tmln="4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81060902" protected="0"/>
          </w:tcPr>
          <w:p>
            <w:pPr>
              <w:spacing/>
              <w:contextualSpacing/>
              <w:jc w:val="center"/>
              <w:widowControl/>
              <w:rPr>
                <w:b/>
                <w:bCs/>
                <w:color w:val="000000"/>
                <w:sz w:val="21"/>
                <w:szCs w:val="21"/>
              </w:rPr>
            </w:pPr>
            <w:r>
              <w:rPr>
                <w:b/>
                <w:bCs/>
                <w:color w:val="000000"/>
                <w:sz w:val="21"/>
                <w:szCs w:val="21"/>
              </w:rPr>
              <w:t xml:space="preserve">Факт </w:t>
            </w:r>
          </w:p>
          <w:p>
            <w:pPr>
              <w:spacing/>
              <w:contextualSpacing/>
              <w:jc w:val="center"/>
              <w:widowControl/>
              <w:rPr>
                <w:b/>
                <w:bCs/>
                <w:color w:val="000000"/>
              </w:rPr>
            </w:pPr>
            <w:r>
              <w:rPr>
                <w:b/>
                <w:bCs/>
                <w:color w:val="000000"/>
                <w:sz w:val="21"/>
                <w:szCs w:val="21"/>
              </w:rPr>
              <w:t>2024 г.</w:t>
            </w:r>
            <w:r>
              <w:rPr>
                <w:b/>
                <w:bCs/>
                <w:color w:val="000000"/>
              </w:rPr>
            </w:r>
          </w:p>
          <w:p>
            <w:pPr>
              <w:spacing/>
              <w:contextualSpacing/>
              <w:jc w:val="center"/>
              <w:widowControl/>
              <w:rPr>
                <w:color w:val="000000"/>
              </w:rPr>
            </w:pPr>
            <w:r>
              <w:rPr>
                <w:b/>
                <w:bCs/>
                <w:color w:val="000000"/>
              </w:rPr>
              <w:t xml:space="preserve"> </w:t>
            </w:r>
            <w:r>
              <w:rPr>
                <w:color w:val="000000"/>
              </w:rPr>
            </w:r>
          </w:p>
        </w:tc>
        <w:tc>
          <w:tcPr>
            <w:tcW w:w="4070" w:type="dxa"/>
            <w:gridSpan w:val="3"/>
            <w:vAlign w:val="center"/>
            <w:shd w:val="none"/>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nil" w:sz="0" w:space="0" w:color="000000" tmln="20, 20, 20, 0, 0"/>
              <w:tl2br w:val="nil" w:sz="0" w:space="0" w:color="000000" tmln="20, 20, 20, 0, 0"/>
              <w:tr2bl w:val="nil" w:sz="0" w:space="0" w:color="000000" tmln="20, 20, 20, 0, 0"/>
            </w:tcBorders>
            <w:tmTcPr id="1781060902" protected="0"/>
          </w:tcPr>
          <w:p>
            <w:pPr>
              <w:spacing/>
              <w:contextualSpacing/>
              <w:jc w:val="center"/>
              <w:widowControl/>
              <w:rPr>
                <w:color w:val="000000"/>
              </w:rPr>
            </w:pPr>
            <w:r>
              <w:rPr>
                <w:b/>
                <w:bCs/>
                <w:color w:val="000000"/>
                <w:sz w:val="24"/>
                <w:szCs w:val="24"/>
              </w:rPr>
              <w:t>2025 г.</w:t>
            </w:r>
            <w:r>
              <w:rPr>
                <w:color w:val="000000"/>
              </w:rPr>
            </w:r>
          </w:p>
        </w:tc>
        <w:tc>
          <w:tcPr>
            <w:tcW w:w="7564" w:type="dxa"/>
            <w:gridSpan w:val="6"/>
            <w:vAlign w:val="center"/>
            <w:shd w:val="none"/>
            <w:tcMar>
              <w:top w:w="0" w:type="dxa"/>
              <w:left w:w="108" w:type="dxa"/>
              <w:bottom w:w="0" w:type="dxa"/>
              <w:right w:w="108" w:type="dxa"/>
            </w:tcMar>
            <w:tcBorders>
              <w:top w:val="single" w:sz="16" w:space="0" w:color="000000" tmln="40, 20, 20, 0, 0"/>
              <w:left w:val="single" w:sz="4" w:space="0" w:color="000000" tmln="10, 20, 20, 0, 0"/>
              <w:bottom w:val="nil" w:sz="0" w:space="0" w:color="000000" tmln="20, 20, 20, 0, 0"/>
              <w:right w:val="single" w:sz="16" w:space="0" w:color="000000" tmln="40, 20, 20, 0, 0"/>
              <w:tl2br w:val="nil" w:sz="0" w:space="0" w:color="000000" tmln="20, 20, 20, 0, 0"/>
              <w:tr2bl w:val="nil" w:sz="0" w:space="0" w:color="000000" tmln="20, 20, 20, 0, 0"/>
            </w:tcBorders>
            <w:tmTcPr id="1781060902" protected="0"/>
          </w:tcPr>
          <w:p>
            <w:pPr>
              <w:spacing/>
              <w:contextualSpacing/>
              <w:jc w:val="center"/>
              <w:widowControl/>
              <w:rPr>
                <w:color w:val="000000"/>
              </w:rPr>
            </w:pPr>
            <w:r>
              <w:rPr>
                <w:b/>
                <w:bCs/>
                <w:color w:val="000000"/>
                <w:sz w:val="24"/>
                <w:szCs w:val="24"/>
              </w:rPr>
              <w:t>Исполнение</w:t>
            </w:r>
            <w:r>
              <w:rPr>
                <w:color w:val="000000"/>
              </w:rPr>
            </w:r>
          </w:p>
        </w:tc>
      </w:tr>
      <w:tr>
        <w:trPr>
          <w:tblHeader/>
          <w:cantSplit w:val="0"/>
          <w:trHeight w:val="254" w:hRule="atLeast"/>
        </w:trPr>
        <w:tc>
          <w:tcPr>
            <w:tcW w:w="2995" w:type="dxa"/>
            <w:vMerge/>
            <w:vAlign w:val="center"/>
            <w:shd w:val="none"/>
            <w:tcMar>
              <w:top w:w="0" w:type="dxa"/>
              <w:left w:w="108" w:type="dxa"/>
              <w:bottom w:w="0" w:type="dxa"/>
              <w:right w:w="108" w:type="dxa"/>
            </w:tcMar>
            <w:tcBorders>
              <w:top w:val="single" w:sz="8"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tc>
        <w:tc>
          <w:tcPr>
            <w:tcW w:w="1257" w:type="dxa"/>
            <w:vMerge/>
            <w:vAlign w:val="center"/>
            <w:shd w:val="none"/>
            <w:tcMar>
              <w:top w:w="0" w:type="dxa"/>
              <w:left w:w="108" w:type="dxa"/>
              <w:bottom w:w="0" w:type="dxa"/>
              <w:right w:w="108" w:type="dxa"/>
            </w:tcMar>
            <w:tcBorders>
              <w:top w:val="single" w:sz="4" w:space="0" w:color="000000" tmln="1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81060902" protected="0"/>
          </w:tcPr>
          <w:p/>
        </w:tc>
        <w:tc>
          <w:tcPr>
            <w:tcW w:w="1261"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spacing/>
              <w:contextualSpacing/>
              <w:jc w:val="center"/>
              <w:widowControl/>
              <w:rPr>
                <w:color w:val="000000"/>
              </w:rPr>
            </w:pPr>
            <w:r>
              <w:rPr>
                <w:b/>
                <w:bCs/>
                <w:color w:val="000000"/>
                <w:sz w:val="24"/>
                <w:szCs w:val="24"/>
              </w:rPr>
              <w:t>План</w:t>
            </w:r>
            <w:r>
              <w:rPr>
                <w:color w:val="000000"/>
              </w:rPr>
            </w:r>
          </w:p>
        </w:tc>
        <w:tc>
          <w:tcPr>
            <w:tcW w:w="1405"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spacing/>
              <w:contextualSpacing/>
              <w:jc w:val="center"/>
              <w:widowControl/>
              <w:rPr>
                <w:color w:val="000000"/>
              </w:rPr>
            </w:pPr>
            <w:r>
              <w:rPr>
                <w:b/>
                <w:bCs/>
                <w:color w:val="000000"/>
                <w:sz w:val="24"/>
                <w:szCs w:val="24"/>
              </w:rPr>
              <w:t>Уточ. (на 01.01.26)</w:t>
            </w:r>
            <w:r>
              <w:rPr>
                <w:color w:val="000000"/>
              </w:rPr>
            </w:r>
          </w:p>
        </w:tc>
        <w:tc>
          <w:tcPr>
            <w:tcW w:w="1404"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spacing/>
              <w:contextualSpacing/>
              <w:jc w:val="center"/>
              <w:widowControl/>
              <w:rPr>
                <w:color w:val="000000"/>
              </w:rPr>
            </w:pPr>
            <w:r>
              <w:rPr>
                <w:b/>
                <w:bCs/>
                <w:color w:val="000000"/>
                <w:sz w:val="24"/>
                <w:szCs w:val="24"/>
              </w:rPr>
              <w:t>Факт (на 01.01.2026)</w:t>
            </w:r>
            <w:r>
              <w:rPr>
                <w:color w:val="000000"/>
              </w:rPr>
            </w:r>
          </w:p>
        </w:tc>
        <w:tc>
          <w:tcPr>
            <w:tcW w:w="2440" w:type="dxa"/>
            <w:gridSpan w:val="2"/>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spacing/>
              <w:contextualSpacing/>
              <w:jc w:val="center"/>
              <w:widowControl/>
              <w:rPr>
                <w:color w:val="000000"/>
              </w:rPr>
            </w:pPr>
            <w:r>
              <w:rPr>
                <w:b/>
                <w:bCs/>
                <w:color w:val="000000"/>
                <w:sz w:val="24"/>
                <w:szCs w:val="24"/>
              </w:rPr>
              <w:t>к плану</w:t>
            </w:r>
            <w:r>
              <w:rPr>
                <w:color w:val="000000"/>
              </w:rPr>
            </w:r>
          </w:p>
        </w:tc>
        <w:tc>
          <w:tcPr>
            <w:tcW w:w="2625" w:type="dxa"/>
            <w:gridSpan w:val="2"/>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spacing/>
              <w:contextualSpacing/>
              <w:jc w:val="center"/>
              <w:widowControl/>
              <w:rPr>
                <w:color w:val="000000"/>
              </w:rPr>
            </w:pPr>
            <w:r>
              <w:rPr>
                <w:b/>
                <w:bCs/>
                <w:color w:val="000000"/>
                <w:sz w:val="24"/>
                <w:szCs w:val="24"/>
              </w:rPr>
              <w:t>К уточ. плану</w:t>
            </w:r>
            <w:r>
              <w:rPr>
                <w:color w:val="000000"/>
              </w:rPr>
            </w:r>
          </w:p>
        </w:tc>
        <w:tc>
          <w:tcPr>
            <w:tcW w:w="2499" w:type="dxa"/>
            <w:gridSpan w:val="2"/>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1060902" protected="0"/>
          </w:tcPr>
          <w:p>
            <w:pPr>
              <w:spacing/>
              <w:contextualSpacing/>
              <w:jc w:val="center"/>
              <w:rPr>
                <w:color w:val="000000"/>
              </w:rPr>
            </w:pPr>
            <w:r>
              <w:rPr>
                <w:b/>
                <w:bCs/>
                <w:color w:val="000000"/>
                <w:sz w:val="24"/>
                <w:szCs w:val="24"/>
              </w:rPr>
              <w:t>к 2024 г.</w:t>
            </w:r>
            <w:r>
              <w:rPr>
                <w:color w:val="000000"/>
              </w:rPr>
            </w:r>
          </w:p>
        </w:tc>
      </w:tr>
      <w:tr>
        <w:trPr>
          <w:tblHeader/>
          <w:cantSplit w:val="0"/>
          <w:trHeight w:val="191" w:hRule="atLeast"/>
        </w:trPr>
        <w:tc>
          <w:tcPr>
            <w:tcW w:w="2995" w:type="dxa"/>
            <w:vMerge/>
            <w:vAlign w:val="center"/>
            <w:shd w:val="none"/>
            <w:tcMar>
              <w:top w:w="0" w:type="dxa"/>
              <w:left w:w="108" w:type="dxa"/>
              <w:bottom w:w="0" w:type="dxa"/>
              <w:right w:w="108" w:type="dxa"/>
            </w:tcMar>
            <w:tcBorders>
              <w:top w:val="single" w:sz="8" w:space="0" w:color="000000" tmln="20, 20, 20, 0, 0"/>
              <w:left w:val="single" w:sz="16" w:space="0" w:color="000000" tmln="40, 20, 20, 0, 0"/>
              <w:bottom w:val="nil" w:sz="0" w:space="0" w:color="000000" tmln="20, 20, 20, 0, 0"/>
              <w:right w:val="single" w:sz="4" w:space="0" w:color="000000" tmln="10, 20, 20, 0, 0"/>
              <w:tl2br w:val="nil" w:sz="0" w:space="0" w:color="000000" tmln="20, 20, 20, 0, 0"/>
              <w:tr2bl w:val="nil" w:sz="0" w:space="0" w:color="000000" tmln="20, 20, 20, 0, 0"/>
            </w:tcBorders>
            <w:tmTcPr id="1781060902" protected="0"/>
          </w:tcPr>
          <w:p/>
        </w:tc>
        <w:tc>
          <w:tcPr>
            <w:tcW w:w="1257" w:type="dxa"/>
            <w:vMerge/>
            <w:vAlign w:val="center"/>
            <w:shd w:val="none"/>
            <w:tcMar>
              <w:top w:w="0" w:type="dxa"/>
              <w:left w:w="108" w:type="dxa"/>
              <w:bottom w:w="0" w:type="dxa"/>
              <w:right w:w="108" w:type="dxa"/>
            </w:tcMar>
            <w:tcBorders>
              <w:top w:val="single" w:sz="4" w:space="0" w:color="000000" tmln="1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81060902" protected="0"/>
          </w:tcPr>
          <w:p/>
        </w:tc>
        <w:tc>
          <w:tcPr>
            <w:tcW w:w="1261"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nil" w:sz="0" w:space="0" w:color="000000" tmln="20, 20, 20, 0, 0"/>
              <w:right w:val="single" w:sz="4" w:space="0" w:color="000000" tmln="10, 20, 20, 0, 0"/>
              <w:tl2br w:val="nil" w:sz="0" w:space="0" w:color="000000" tmln="20, 20, 20, 0, 0"/>
              <w:tr2bl w:val="nil" w:sz="0" w:space="0" w:color="000000" tmln="20, 20, 20, 0, 0"/>
            </w:tcBorders>
            <w:tmTcPr id="1781060902" protected="0"/>
          </w:tcPr>
          <w:p/>
        </w:tc>
        <w:tc>
          <w:tcPr>
            <w:tcW w:w="1405"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nil" w:sz="0" w:space="0" w:color="000000" tmln="20, 20, 20, 0, 0"/>
              <w:right w:val="single" w:sz="4" w:space="0" w:color="000000" tmln="10, 20, 20, 0, 0"/>
              <w:tl2br w:val="nil" w:sz="0" w:space="0" w:color="000000" tmln="20, 20, 20, 0, 0"/>
              <w:tr2bl w:val="nil" w:sz="0" w:space="0" w:color="000000" tmln="20, 20, 20, 0, 0"/>
            </w:tcBorders>
            <w:tmTcPr id="1781060902" protected="0"/>
          </w:tcPr>
          <w:p/>
        </w:tc>
        <w:tc>
          <w:tcPr>
            <w:tcW w:w="1404"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nil" w:sz="0" w:space="0" w:color="000000" tmln="20, 20, 20, 0, 0"/>
              <w:right w:val="single" w:sz="4" w:space="0" w:color="000000" tmln="10, 20, 20, 0, 0"/>
              <w:tl2br w:val="nil" w:sz="0" w:space="0" w:color="000000" tmln="20, 20, 20, 0, 0"/>
              <w:tr2bl w:val="nil" w:sz="0" w:space="0" w:color="000000" tmln="20, 20, 20, 0, 0"/>
            </w:tcBorders>
            <w:tmTcPr id="1781060902" protected="0"/>
          </w:tcPr>
          <w:p/>
        </w:tc>
        <w:tc>
          <w:tcPr>
            <w:tcW w:w="1486" w:type="dxa"/>
            <w:vAlign w:val="center"/>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81060902" protected="0"/>
          </w:tcPr>
          <w:p>
            <w:pPr>
              <w:spacing/>
              <w:contextualSpacing/>
              <w:jc w:val="center"/>
              <w:widowControl/>
              <w:rPr>
                <w:color w:val="000000"/>
              </w:rPr>
            </w:pPr>
            <w:r>
              <w:rPr>
                <w:b/>
                <w:bCs/>
                <w:color w:val="000000"/>
                <w:sz w:val="24"/>
                <w:szCs w:val="24"/>
              </w:rPr>
              <w:t>+,-</w:t>
            </w:r>
            <w:r>
              <w:rPr>
                <w:color w:val="000000"/>
              </w:rPr>
            </w:r>
          </w:p>
        </w:tc>
        <w:tc>
          <w:tcPr>
            <w:tcW w:w="954" w:type="dxa"/>
            <w:vAlign w:val="center"/>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81060902" protected="0"/>
          </w:tcPr>
          <w:p>
            <w:pPr>
              <w:spacing/>
              <w:contextualSpacing/>
              <w:jc w:val="center"/>
              <w:widowControl/>
              <w:rPr>
                <w:color w:val="000000"/>
              </w:rPr>
            </w:pPr>
            <w:r>
              <w:rPr>
                <w:b/>
                <w:bCs/>
                <w:color w:val="000000"/>
                <w:sz w:val="24"/>
                <w:szCs w:val="24"/>
              </w:rPr>
              <w:t>%</w:t>
            </w:r>
            <w:r>
              <w:rPr>
                <w:color w:val="000000"/>
              </w:rPr>
            </w:r>
          </w:p>
        </w:tc>
        <w:tc>
          <w:tcPr>
            <w:tcW w:w="1398" w:type="dxa"/>
            <w:vAlign w:val="center"/>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81060902" protected="0"/>
          </w:tcPr>
          <w:p>
            <w:pPr>
              <w:spacing/>
              <w:contextualSpacing/>
              <w:jc w:val="center"/>
              <w:widowControl/>
              <w:rPr>
                <w:color w:val="000000"/>
              </w:rPr>
            </w:pPr>
            <w:r>
              <w:rPr>
                <w:b/>
                <w:bCs/>
                <w:color w:val="000000"/>
                <w:sz w:val="24"/>
                <w:szCs w:val="24"/>
              </w:rPr>
              <w:t>+,-</w:t>
            </w:r>
            <w:r>
              <w:rPr>
                <w:color w:val="000000"/>
              </w:rPr>
            </w:r>
          </w:p>
        </w:tc>
        <w:tc>
          <w:tcPr>
            <w:tcW w:w="1227" w:type="dxa"/>
            <w:vAlign w:val="center"/>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81060902" protected="0"/>
          </w:tcPr>
          <w:p>
            <w:pPr>
              <w:spacing/>
              <w:contextualSpacing/>
              <w:jc w:val="center"/>
              <w:widowControl/>
              <w:rPr>
                <w:color w:val="000000"/>
              </w:rPr>
            </w:pPr>
            <w:r>
              <w:rPr>
                <w:b/>
                <w:bCs/>
                <w:color w:val="000000"/>
                <w:sz w:val="24"/>
                <w:szCs w:val="24"/>
              </w:rPr>
              <w:t>%</w:t>
            </w:r>
            <w:r>
              <w:rPr>
                <w:color w:val="000000"/>
              </w:rPr>
            </w:r>
          </w:p>
        </w:tc>
        <w:tc>
          <w:tcPr>
            <w:tcW w:w="1285" w:type="dxa"/>
            <w:vAlign w:val="center"/>
            <w:shd w:val="none"/>
            <w:tcMar>
              <w:top w:w="0" w:type="dxa"/>
              <w:left w:w="108" w:type="dxa"/>
              <w:bottom w:w="0" w:type="dxa"/>
              <w:right w:w="108" w:type="dxa"/>
            </w:tcMar>
            <w:tcBorders>
              <w:top w:val="nil" w:sz="0" w:space="0" w:color="000000" tmln="20, 20, 20, 0, 0"/>
              <w:left w:val="single" w:sz="4" w:space="0" w:color="000000" tmln="10, 20, 20, 0, 0"/>
              <w:bottom w:val="nil" w:sz="0" w:space="0" w:color="000000" tmln="20, 20, 20, 0, 0"/>
              <w:right w:val="nil" w:sz="0" w:space="0" w:color="000000" tmln="20, 20, 20, 0, 0"/>
              <w:tl2br w:val="nil" w:sz="0" w:space="0" w:color="000000" tmln="20, 20, 20, 0, 0"/>
              <w:tr2bl w:val="nil" w:sz="0" w:space="0" w:color="000000" tmln="20, 20, 20, 0, 0"/>
            </w:tcBorders>
            <w:tmTcPr id="1781060902" protected="0"/>
          </w:tcPr>
          <w:p>
            <w:pPr>
              <w:spacing/>
              <w:contextualSpacing/>
              <w:jc w:val="center"/>
              <w:rPr>
                <w:color w:val="000000"/>
              </w:rPr>
            </w:pPr>
            <w:r>
              <w:rPr>
                <w:b/>
                <w:bCs/>
                <w:color w:val="000000"/>
                <w:sz w:val="24"/>
                <w:szCs w:val="24"/>
              </w:rPr>
              <w:t>+,-</w:t>
            </w:r>
            <w:r>
              <w:rPr>
                <w:color w:val="000000"/>
              </w:rPr>
            </w:r>
          </w:p>
        </w:tc>
        <w:tc>
          <w:tcPr>
            <w:tcW w:w="1214" w:type="dxa"/>
            <w:vAlign w:val="center"/>
            <w:shd w:val="none"/>
            <w:tcMar>
              <w:top w:w="0" w:type="dxa"/>
              <w:left w:w="108" w:type="dxa"/>
              <w:bottom w:w="0" w:type="dxa"/>
              <w:right w:w="108" w:type="dxa"/>
            </w:tcMar>
            <w:tcBorders>
              <w:top w:val="nil" w:sz="0" w:space="0" w:color="000000" tmln="20, 20, 20, 0, 0"/>
              <w:left w:val="single" w:sz="4" w:space="0" w:color="000000" tmln="10, 20, 20, 0, 0"/>
              <w:bottom w:val="nil" w:sz="0" w:space="0" w:color="000000" tmln="20, 20, 20, 0, 0"/>
              <w:right w:val="single" w:sz="16" w:space="0" w:color="000000" tmln="40, 20, 20, 0, 0"/>
              <w:tl2br w:val="nil" w:sz="0" w:space="0" w:color="000000" tmln="20, 20, 20, 0, 0"/>
              <w:tr2bl w:val="nil" w:sz="0" w:space="0" w:color="000000" tmln="20, 20, 20, 0, 0"/>
            </w:tcBorders>
            <w:tmTcPr id="1781060902" protected="0"/>
          </w:tcPr>
          <w:p>
            <w:pPr>
              <w:spacing/>
              <w:contextualSpacing/>
              <w:jc w:val="center"/>
              <w:widowControl/>
              <w:rPr>
                <w:color w:val="000000"/>
              </w:rPr>
            </w:pPr>
            <w:r>
              <w:rPr>
                <w:b/>
                <w:bCs/>
                <w:color w:val="000000"/>
                <w:sz w:val="24"/>
                <w:szCs w:val="24"/>
              </w:rPr>
              <w:t>%</w:t>
            </w:r>
            <w:r>
              <w:rPr>
                <w:color w:val="000000"/>
              </w:rPr>
            </w:r>
          </w:p>
        </w:tc>
      </w:tr>
      <w:tr>
        <w:trPr>
          <w:tblHeader w:val="0"/>
          <w:cantSplit w:val="0"/>
          <w:trHeight w:val="290" w:hRule="atLeast"/>
        </w:trPr>
        <w:tc>
          <w:tcPr>
            <w:tcW w:w="2995" w:type="dxa"/>
            <w:vAlign w:val="center"/>
            <w:shd w:val="solid" w:color="FFFFFF" tmshd="6553856, 16777215, 16777215"/>
            <w:tcMar>
              <w:top w:w="0" w:type="dxa"/>
              <w:left w:w="108" w:type="dxa"/>
              <w:bottom w:w="0" w:type="dxa"/>
              <w:right w:w="108" w:type="dxa"/>
            </w:tcMar>
            <w:tcBorders>
              <w:top w:val="single" w:sz="16" w:space="0" w:color="000000" tmln="4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contextualSpacing/>
              <w:widowControl/>
              <w:rPr>
                <w:color w:val="000000"/>
              </w:rPr>
            </w:pPr>
            <w:r>
              <w:rPr>
                <w:b/>
                <w:bCs/>
                <w:color w:val="000000"/>
                <w:sz w:val="24"/>
                <w:szCs w:val="24"/>
              </w:rPr>
              <w:t>Доходы бюджета - ИТОГО</w:t>
            </w:r>
            <w:r>
              <w:rPr>
                <w:color w:val="000000"/>
              </w:rPr>
            </w:r>
          </w:p>
        </w:tc>
        <w:tc>
          <w:tcPr>
            <w:tcW w:w="1257" w:type="dxa"/>
            <w:vAlign w:val="bottom"/>
            <w:shd w:val="solid" w:color="FFFFFF" tmshd="6553856, 16777215, 16777215"/>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4781761,9</w:t>
            </w:r>
          </w:p>
        </w:tc>
        <w:tc>
          <w:tcPr>
            <w:tcW w:w="1261" w:type="dxa"/>
            <w:vAlign w:val="bottom"/>
            <w:shd w:val="solid" w:color="FFFFFF" tmshd="6553856, 16777215, 16777215"/>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3873638,3</w:t>
            </w:r>
          </w:p>
        </w:tc>
        <w:tc>
          <w:tcPr>
            <w:tcW w:w="1405" w:type="dxa"/>
            <w:vAlign w:val="bottom"/>
            <w:shd w:val="solid" w:color="FFFFFF" tmshd="6553856, 16777215, 16777215"/>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4232883,5</w:t>
            </w:r>
          </w:p>
        </w:tc>
        <w:tc>
          <w:tcPr>
            <w:tcW w:w="1404" w:type="dxa"/>
            <w:vAlign w:val="bottom"/>
            <w:shd w:val="solid" w:color="FFFFFF" tmshd="6553856, 16777215, 16777215"/>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4201003,4</w:t>
            </w:r>
          </w:p>
        </w:tc>
        <w:tc>
          <w:tcPr>
            <w:tcW w:w="1486" w:type="dxa"/>
            <w:vAlign w:val="bottom"/>
            <w:shd w:val="solid" w:color="FFFFFF" tmshd="6553856, 16777215, 16777215"/>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327365,1</w:t>
            </w:r>
          </w:p>
        </w:tc>
        <w:tc>
          <w:tcPr>
            <w:tcW w:w="954" w:type="dxa"/>
            <w:vAlign w:val="bottom"/>
            <w:shd w:val="solid" w:color="FFFFFF" tmshd="6553856, 16777215, 16777215"/>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108,5</w:t>
            </w:r>
          </w:p>
        </w:tc>
        <w:tc>
          <w:tcPr>
            <w:tcW w:w="1398" w:type="dxa"/>
            <w:vAlign w:val="bottom"/>
            <w:shd w:val="solid" w:color="FFFFFF" tmshd="6553856, 16777215, 16777215"/>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-31880,1</w:t>
            </w:r>
          </w:p>
        </w:tc>
        <w:tc>
          <w:tcPr>
            <w:tcW w:w="1227" w:type="dxa"/>
            <w:vAlign w:val="bottom"/>
            <w:shd w:val="solid" w:color="FFFFFF" tmshd="6553856, 16777215, 16777215"/>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99,2</w:t>
            </w:r>
          </w:p>
        </w:tc>
        <w:tc>
          <w:tcPr>
            <w:tcW w:w="1285" w:type="dxa"/>
            <w:vAlign w:val="bottom"/>
            <w:shd w:val="solid" w:color="FFFFFF" tmshd="6553856, 16777215, 16777215"/>
            <w:tcMar>
              <w:top w:w="0" w:type="dxa"/>
              <w:left w:w="108" w:type="dxa"/>
              <w:bottom w:w="0" w:type="dxa"/>
              <w:right w:w="108" w:type="dxa"/>
            </w:tcMar>
            <w:tcBorders>
              <w:top w:val="single" w:sz="16" w:space="0" w:color="000000" tmln="4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1060902" protected="0"/>
          </w:tcPr>
          <w:p>
            <w:pPr>
              <w:rPr>
                <w:b/>
                <w:bCs/>
                <w:color w:val="000000"/>
              </w:rPr>
            </w:pPr>
            <w:r>
              <w:rPr>
                <w:b/>
                <w:bCs/>
                <w:color w:val="000000"/>
              </w:rPr>
              <w:t>-580758,4</w:t>
            </w:r>
          </w:p>
        </w:tc>
        <w:tc>
          <w:tcPr>
            <w:tcW w:w="1214" w:type="dxa"/>
            <w:vAlign w:val="bottom"/>
            <w:shd w:val="solid" w:color="FFFFFF" tmshd="6553856, 16777215, 16777215"/>
            <w:tcMar>
              <w:top w:w="0" w:type="dxa"/>
              <w:left w:w="108" w:type="dxa"/>
              <w:bottom w:w="0" w:type="dxa"/>
              <w:right w:w="108" w:type="dxa"/>
            </w:tcMar>
            <w:tcBorders>
              <w:top w:val="single" w:sz="16" w:space="0" w:color="000000" tmln="4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1060902" protected="0"/>
          </w:tcPr>
          <w:p>
            <w:pPr>
              <w:rPr>
                <w:b/>
                <w:bCs/>
                <w:color w:val="000000"/>
              </w:rPr>
            </w:pPr>
            <w:r>
              <w:rPr>
                <w:b/>
                <w:bCs/>
                <w:color w:val="000000"/>
              </w:rPr>
              <w:t>87,9</w:t>
            </w:r>
          </w:p>
        </w:tc>
      </w:tr>
      <w:tr>
        <w:trPr>
          <w:tblHeader w:val="0"/>
          <w:cantSplit w:val="0"/>
          <w:trHeight w:val="230" w:hRule="atLeast"/>
        </w:trPr>
        <w:tc>
          <w:tcPr>
            <w:tcW w:w="2995" w:type="dxa"/>
            <w:vAlign w:val="center"/>
            <w:shd w:val="solid" w:color="EEECE1" tmshd="6553856, 14806254, 16777215"/>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contextualSpacing/>
              <w:widowControl/>
              <w:rPr>
                <w:color w:val="000000"/>
              </w:rPr>
            </w:pPr>
            <w:r>
              <w:rPr>
                <w:b/>
                <w:bCs/>
                <w:color w:val="000000"/>
                <w:sz w:val="24"/>
                <w:szCs w:val="24"/>
              </w:rPr>
              <w:t>Доходы бюджета</w:t>
            </w:r>
            <w:r>
              <w:rPr>
                <w:color w:val="000000"/>
              </w:rPr>
            </w:r>
          </w:p>
        </w:tc>
        <w:tc>
          <w:tcPr>
            <w:tcW w:w="1257" w:type="dxa"/>
            <w:vAlign w:val="bottom"/>
            <w:shd w:val="solid" w:color="EEECE1" tmshd="6553856, 14806254,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1001691,4</w:t>
            </w:r>
          </w:p>
        </w:tc>
        <w:tc>
          <w:tcPr>
            <w:tcW w:w="1261" w:type="dxa"/>
            <w:vAlign w:val="bottom"/>
            <w:shd w:val="solid" w:color="EEECE1" tmshd="6553856, 14806254,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1113141,0</w:t>
            </w:r>
          </w:p>
        </w:tc>
        <w:tc>
          <w:tcPr>
            <w:tcW w:w="1405" w:type="dxa"/>
            <w:vAlign w:val="bottom"/>
            <w:shd w:val="solid" w:color="EEECE1" tmshd="6553856, 14806254,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1123332,2</w:t>
            </w:r>
          </w:p>
        </w:tc>
        <w:tc>
          <w:tcPr>
            <w:tcW w:w="1404" w:type="dxa"/>
            <w:vAlign w:val="bottom"/>
            <w:shd w:val="solid" w:color="EEECE1" tmshd="6553856, 14806254,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1127644,5</w:t>
            </w:r>
          </w:p>
        </w:tc>
        <w:tc>
          <w:tcPr>
            <w:tcW w:w="1486" w:type="dxa"/>
            <w:vAlign w:val="bottom"/>
            <w:shd w:val="solid" w:color="EEECE1" tmshd="6553856, 14806254,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14503,5</w:t>
            </w:r>
          </w:p>
        </w:tc>
        <w:tc>
          <w:tcPr>
            <w:tcW w:w="954" w:type="dxa"/>
            <w:vAlign w:val="bottom"/>
            <w:shd w:val="solid" w:color="EEECE1" tmshd="6553856, 14806254,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101,3</w:t>
            </w:r>
          </w:p>
        </w:tc>
        <w:tc>
          <w:tcPr>
            <w:tcW w:w="1398" w:type="dxa"/>
            <w:vAlign w:val="bottom"/>
            <w:shd w:val="solid" w:color="EEECE1" tmshd="6553856, 14806254,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4312,3</w:t>
            </w:r>
          </w:p>
        </w:tc>
        <w:tc>
          <w:tcPr>
            <w:tcW w:w="1227" w:type="dxa"/>
            <w:vAlign w:val="bottom"/>
            <w:shd w:val="solid" w:color="EEECE1" tmshd="6553856, 14806254,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100,4</w:t>
            </w:r>
          </w:p>
        </w:tc>
        <w:tc>
          <w:tcPr>
            <w:tcW w:w="1285" w:type="dxa"/>
            <w:vAlign w:val="bottom"/>
            <w:shd w:val="solid" w:color="EEECE1" tmshd="6553856, 14806254,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1060902" protected="0"/>
          </w:tcPr>
          <w:p>
            <w:pPr>
              <w:rPr>
                <w:b/>
                <w:bCs/>
                <w:color w:val="000000"/>
              </w:rPr>
            </w:pPr>
            <w:r>
              <w:rPr>
                <w:b/>
                <w:bCs/>
                <w:color w:val="000000"/>
              </w:rPr>
              <w:t>125953,1</w:t>
            </w:r>
          </w:p>
        </w:tc>
        <w:tc>
          <w:tcPr>
            <w:tcW w:w="1214" w:type="dxa"/>
            <w:vAlign w:val="bottom"/>
            <w:shd w:val="solid" w:color="EEECE1" tmshd="6553856, 14806254,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1060902" protected="0"/>
          </w:tcPr>
          <w:p>
            <w:pPr>
              <w:rPr>
                <w:b/>
                <w:bCs/>
                <w:color w:val="000000"/>
              </w:rPr>
            </w:pPr>
            <w:r>
              <w:rPr>
                <w:b/>
                <w:bCs/>
                <w:color w:val="000000"/>
              </w:rPr>
              <w:t>112,6</w:t>
            </w:r>
          </w:p>
        </w:tc>
      </w:tr>
      <w:tr>
        <w:trPr>
          <w:tblHeader w:val="0"/>
          <w:cantSplit w:val="0"/>
          <w:trHeight w:val="137" w:hRule="atLeast"/>
        </w:trPr>
        <w:tc>
          <w:tcPr>
            <w:tcW w:w="2995" w:type="dxa"/>
            <w:vAlign w:val="center"/>
            <w:shd w:val="solid" w:color="FFFFFF" tmshd="6553856, 16777215, 16777215"/>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contextualSpacing/>
              <w:widowControl/>
              <w:rPr>
                <w:color w:val="000000"/>
              </w:rPr>
            </w:pPr>
            <w:r>
              <w:rPr>
                <w:b/>
                <w:bCs/>
                <w:color w:val="000000"/>
                <w:sz w:val="24"/>
                <w:szCs w:val="24"/>
              </w:rPr>
              <w:t>Налоговые доходы</w:t>
            </w:r>
            <w:r>
              <w:rPr>
                <w:color w:val="000000"/>
              </w:rPr>
            </w:r>
          </w:p>
        </w:tc>
        <w:tc>
          <w:tcPr>
            <w:tcW w:w="125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875643,8</w:t>
            </w:r>
          </w:p>
        </w:tc>
        <w:tc>
          <w:tcPr>
            <w:tcW w:w="1261"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1001756,0</w:t>
            </w:r>
          </w:p>
        </w:tc>
        <w:tc>
          <w:tcPr>
            <w:tcW w:w="1405"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993668,0</w:t>
            </w:r>
          </w:p>
        </w:tc>
        <w:tc>
          <w:tcPr>
            <w:tcW w:w="1404"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988763,6</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-12992,4</w:t>
            </w:r>
          </w:p>
        </w:tc>
        <w:tc>
          <w:tcPr>
            <w:tcW w:w="954"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98,7</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-4904,4</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99,5</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1060902" protected="0"/>
          </w:tcPr>
          <w:p>
            <w:pPr>
              <w:rPr>
                <w:b/>
                <w:bCs/>
                <w:color w:val="000000"/>
              </w:rPr>
            </w:pPr>
            <w:r>
              <w:rPr>
                <w:b/>
                <w:bCs/>
                <w:color w:val="000000"/>
              </w:rPr>
              <w:t>113119,8</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1060902" protected="0"/>
          </w:tcPr>
          <w:p>
            <w:pPr>
              <w:rPr>
                <w:b/>
                <w:bCs/>
                <w:color w:val="000000"/>
              </w:rPr>
            </w:pPr>
            <w:r>
              <w:rPr>
                <w:b/>
                <w:bCs/>
                <w:color w:val="000000"/>
              </w:rPr>
              <w:t>112,9</w:t>
            </w:r>
          </w:p>
        </w:tc>
      </w:tr>
      <w:tr>
        <w:trPr>
          <w:tblHeader w:val="0"/>
          <w:cantSplit w:val="0"/>
          <w:trHeight w:val="240"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contextualSpacing/>
              <w:widowControl/>
              <w:rPr>
                <w:color w:val="000000"/>
              </w:rPr>
            </w:pPr>
            <w:r>
              <w:rPr>
                <w:b/>
                <w:bCs/>
                <w:color w:val="000000"/>
                <w:sz w:val="24"/>
                <w:szCs w:val="24"/>
              </w:rPr>
              <w:t>Налоги на прибыль, доходы</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666234,6</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774409,0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741850,0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737775,1</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-36633,9</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95,3</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-4074,9</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99,5</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1060902" protected="0"/>
          </w:tcPr>
          <w:p>
            <w:pPr>
              <w:rPr>
                <w:color w:val="000000"/>
              </w:rPr>
            </w:pPr>
            <w:r>
              <w:rPr>
                <w:color w:val="000000"/>
              </w:rPr>
              <w:t>71540,5</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1060902" protected="0"/>
          </w:tcPr>
          <w:p>
            <w:pPr>
              <w:rPr>
                <w:color w:val="000000"/>
              </w:rPr>
            </w:pPr>
            <w:r>
              <w:rPr>
                <w:color w:val="000000"/>
              </w:rPr>
              <w:t>110,7</w:t>
            </w:r>
          </w:p>
        </w:tc>
      </w:tr>
      <w:tr>
        <w:trPr>
          <w:tblHeader w:val="0"/>
          <w:cantSplit w:val="0"/>
          <w:trHeight w:val="315"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contextualSpacing/>
              <w:widowControl/>
              <w:rPr>
                <w:color w:val="000000"/>
              </w:rPr>
            </w:pPr>
            <w:r>
              <w:rPr>
                <w:color w:val="000000"/>
                <w:sz w:val="24"/>
                <w:szCs w:val="24"/>
              </w:rPr>
              <w:t>Налог на доходы физ. лиц</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666234,6</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774409,0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741850,0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737775,1</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-36633,9</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95,3</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-4074,9</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99,5</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1060902" protected="0"/>
          </w:tcPr>
          <w:p>
            <w:pPr>
              <w:rPr>
                <w:color w:val="000000"/>
              </w:rPr>
            </w:pPr>
            <w:r>
              <w:rPr>
                <w:color w:val="000000"/>
              </w:rPr>
              <w:t>71540,5</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1060902" protected="0"/>
          </w:tcPr>
          <w:p>
            <w:pPr>
              <w:rPr>
                <w:color w:val="000000"/>
              </w:rPr>
            </w:pPr>
            <w:r>
              <w:rPr>
                <w:color w:val="000000"/>
              </w:rPr>
              <w:t>110,7</w:t>
            </w:r>
          </w:p>
        </w:tc>
      </w:tr>
      <w:tr>
        <w:trPr>
          <w:tblHeader w:val="0"/>
          <w:cantSplit w:val="0"/>
          <w:trHeight w:val="407"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contextualSpacing/>
              <w:widowControl/>
              <w:rPr>
                <w:color w:val="000000"/>
              </w:rPr>
            </w:pPr>
            <w:r>
              <w:rPr>
                <w:b/>
                <w:bCs/>
                <w:color w:val="000000"/>
                <w:sz w:val="24"/>
                <w:szCs w:val="24"/>
              </w:rPr>
              <w:t>Налоги на товары, реализуемые на террит-и РФ</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29601,2</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31943,0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31943,0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31535,3</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-407,7</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98,7</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-407,7</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98,7</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1060902" protected="0"/>
          </w:tcPr>
          <w:p>
            <w:pPr>
              <w:rPr>
                <w:b/>
                <w:bCs/>
                <w:color w:val="000000"/>
              </w:rPr>
            </w:pPr>
            <w:r>
              <w:rPr>
                <w:b/>
                <w:bCs/>
                <w:color w:val="000000"/>
              </w:rPr>
              <w:t>1934,1</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1060902" protected="0"/>
          </w:tcPr>
          <w:p>
            <w:pPr>
              <w:rPr>
                <w:b/>
                <w:bCs/>
                <w:color w:val="000000"/>
              </w:rPr>
            </w:pPr>
            <w:r>
              <w:rPr>
                <w:b/>
                <w:bCs/>
                <w:color w:val="000000"/>
              </w:rPr>
              <w:t>106,5</w:t>
            </w:r>
          </w:p>
        </w:tc>
      </w:tr>
      <w:tr>
        <w:trPr>
          <w:tblHeader w:val="0"/>
          <w:cantSplit w:val="0"/>
          <w:trHeight w:val="370"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contextualSpacing/>
              <w:widowControl/>
              <w:rPr>
                <w:color w:val="000000"/>
              </w:rPr>
            </w:pPr>
            <w:r>
              <w:rPr>
                <w:color w:val="000000"/>
                <w:sz w:val="24"/>
                <w:szCs w:val="24"/>
              </w:rPr>
              <w:t>Акцизы по подакцизным товарам, производимым в РФ</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29601,2</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31943,0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31943,0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31535,3</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-407,7</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98,7</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-407,7</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98,7</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1060902" protected="0"/>
          </w:tcPr>
          <w:p>
            <w:pPr>
              <w:rPr>
                <w:color w:val="000000"/>
              </w:rPr>
            </w:pPr>
            <w:r>
              <w:rPr>
                <w:color w:val="000000"/>
              </w:rPr>
              <w:t>1934,1</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1060902" protected="0"/>
          </w:tcPr>
          <w:p>
            <w:pPr>
              <w:rPr>
                <w:color w:val="000000"/>
              </w:rPr>
            </w:pPr>
            <w:r>
              <w:rPr>
                <w:color w:val="000000"/>
              </w:rPr>
              <w:t>106,5</w:t>
            </w:r>
          </w:p>
        </w:tc>
      </w:tr>
      <w:tr>
        <w:trPr>
          <w:tblHeader w:val="0"/>
          <w:cantSplit w:val="0"/>
          <w:trHeight w:val="192"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contextualSpacing/>
              <w:widowControl/>
              <w:rPr>
                <w:color w:val="000000"/>
              </w:rPr>
            </w:pPr>
            <w:r>
              <w:rPr>
                <w:b/>
                <w:bCs/>
                <w:color w:val="000000"/>
                <w:sz w:val="24"/>
                <w:szCs w:val="24"/>
              </w:rPr>
              <w:t>Налоги на совокупный доход</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99834,8</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115753,0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101264,0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100672,7</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-15080,3</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87</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-591,3</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99,4</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1060902" protected="0"/>
          </w:tcPr>
          <w:p>
            <w:pPr>
              <w:rPr>
                <w:b/>
                <w:bCs/>
                <w:color w:val="000000"/>
              </w:rPr>
            </w:pPr>
            <w:r>
              <w:rPr>
                <w:b/>
                <w:bCs/>
                <w:color w:val="000000"/>
              </w:rPr>
              <w:t>837,9</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1060902" protected="0"/>
          </w:tcPr>
          <w:p>
            <w:pPr>
              <w:rPr>
                <w:b/>
                <w:bCs/>
                <w:color w:val="000000"/>
              </w:rPr>
            </w:pPr>
            <w:r>
              <w:rPr>
                <w:b/>
                <w:bCs/>
                <w:color w:val="000000"/>
              </w:rPr>
              <w:t>100,8</w:t>
            </w:r>
          </w:p>
        </w:tc>
      </w:tr>
      <w:tr>
        <w:trPr>
          <w:tblHeader w:val="0"/>
          <w:cantSplit w:val="0"/>
          <w:trHeight w:val="585"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contextualSpacing/>
              <w:widowControl/>
              <w:rPr>
                <w:color w:val="000000"/>
              </w:rPr>
            </w:pPr>
            <w:r>
              <w:rPr>
                <w:color w:val="000000"/>
                <w:sz w:val="24"/>
                <w:szCs w:val="24"/>
              </w:rPr>
              <w:t>Налог, взимаемый в связи с применением упрощённой системы налогообложения</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86429,6</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98013,0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78995,0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79150,0</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-18863,0</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80,8</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155,0</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100,2</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1060902" protected="0"/>
          </w:tcPr>
          <w:p>
            <w:pPr>
              <w:rPr>
                <w:color w:val="000000"/>
              </w:rPr>
            </w:pPr>
            <w:r>
              <w:rPr>
                <w:color w:val="000000"/>
              </w:rPr>
              <w:t>-7279,6</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1060902" protected="0"/>
          </w:tcPr>
          <w:p>
            <w:pPr>
              <w:rPr>
                <w:color w:val="000000"/>
              </w:rPr>
            </w:pPr>
            <w:r>
              <w:rPr>
                <w:color w:val="000000"/>
              </w:rPr>
              <w:t>91,6</w:t>
            </w:r>
          </w:p>
        </w:tc>
      </w:tr>
      <w:tr>
        <w:trPr>
          <w:tblHeader w:val="0"/>
          <w:cantSplit w:val="0"/>
          <w:trHeight w:val="376"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contextualSpacing/>
              <w:widowControl/>
              <w:rPr>
                <w:color w:val="000000"/>
              </w:rPr>
            </w:pPr>
            <w:r>
              <w:rPr>
                <w:color w:val="000000"/>
                <w:sz w:val="24"/>
                <w:szCs w:val="24"/>
              </w:rPr>
              <w:t>Ед. налог на вменен. доход для отд. видов деятельности</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124,7</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29</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39,4</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39,4</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10,4</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135,9</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1060902" protected="0"/>
          </w:tcPr>
          <w:p>
            <w:pPr>
              <w:rPr>
                <w:color w:val="000000"/>
              </w:rPr>
            </w:pPr>
            <w:r>
              <w:rPr>
                <w:color w:val="000000"/>
              </w:rPr>
              <w:t>-85,3</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1060902" protected="0"/>
          </w:tcPr>
          <w:p>
            <w:pPr>
              <w:rPr>
                <w:color w:val="000000"/>
              </w:rPr>
            </w:pPr>
            <w:r>
              <w:rPr>
                <w:color w:val="000000"/>
              </w:rPr>
              <w:t>31,6</w:t>
            </w:r>
          </w:p>
        </w:tc>
      </w:tr>
      <w:tr>
        <w:trPr>
          <w:tblHeader w:val="0"/>
          <w:cantSplit w:val="0"/>
          <w:trHeight w:val="174"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contextualSpacing/>
              <w:widowControl/>
              <w:rPr>
                <w:color w:val="000000"/>
              </w:rPr>
            </w:pPr>
            <w:r>
              <w:rPr>
                <w:color w:val="000000"/>
                <w:sz w:val="24"/>
                <w:szCs w:val="24"/>
              </w:rPr>
              <w:t xml:space="preserve">Единый сельхозналог </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717,1</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1287,0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1879,0</w:t>
            </w:r>
          </w:p>
        </w:tc>
        <w:tc>
          <w:tcPr>
            <w:tcW w:w="1404"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1880,3</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593,3</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146,1</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1,3</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100,1</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1060902" protected="0"/>
          </w:tcPr>
          <w:p>
            <w:pPr>
              <w:rPr>
                <w:color w:val="000000"/>
              </w:rPr>
            </w:pPr>
            <w:r>
              <w:rPr>
                <w:color w:val="000000"/>
              </w:rPr>
              <w:t>1163,2</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1060902" protected="0"/>
          </w:tcPr>
          <w:p>
            <w:pPr>
              <w:rPr>
                <w:color w:val="000000"/>
              </w:rPr>
            </w:pPr>
            <w:r>
              <w:rPr>
                <w:color w:val="000000"/>
              </w:rPr>
              <w:t>262,2</w:t>
            </w:r>
          </w:p>
        </w:tc>
      </w:tr>
      <w:tr>
        <w:trPr>
          <w:tblHeader w:val="0"/>
          <w:cantSplit w:val="0"/>
          <w:trHeight w:val="585"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contextualSpacing/>
              <w:widowControl/>
              <w:rPr>
                <w:color w:val="000000"/>
              </w:rPr>
            </w:pPr>
            <w:r>
              <w:rPr>
                <w:color w:val="000000"/>
                <w:sz w:val="24"/>
                <w:szCs w:val="24"/>
              </w:rPr>
              <w:t>Налог, взимаемый в связи с применением патентной системы налогообложения</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12563,5</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16453,0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20361,0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19603,0</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3150,0</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119,1</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-758,0</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96,3</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1060902" protected="0"/>
          </w:tcPr>
          <w:p>
            <w:pPr>
              <w:rPr>
                <w:color w:val="000000"/>
              </w:rPr>
            </w:pPr>
            <w:r>
              <w:rPr>
                <w:color w:val="000000"/>
              </w:rPr>
              <w:t>7039,5</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1060902" protected="0"/>
          </w:tcPr>
          <w:p>
            <w:pPr>
              <w:rPr>
                <w:color w:val="000000"/>
              </w:rPr>
            </w:pPr>
            <w:r>
              <w:rPr>
                <w:color w:val="000000"/>
              </w:rPr>
              <w:t>156,0</w:t>
            </w:r>
          </w:p>
        </w:tc>
      </w:tr>
      <w:tr>
        <w:trPr>
          <w:tblHeader w:val="0"/>
          <w:cantSplit w:val="0"/>
          <w:trHeight w:val="159"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contextualSpacing/>
              <w:widowControl/>
              <w:rPr>
                <w:color w:val="000000"/>
              </w:rPr>
            </w:pPr>
            <w:r>
              <w:rPr>
                <w:b/>
                <w:bCs/>
                <w:color w:val="000000"/>
                <w:sz w:val="24"/>
                <w:szCs w:val="24"/>
              </w:rPr>
              <w:t>Налоги на имущество</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61373,8</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66038,0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81869,0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82569,6</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16531,6</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125</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700,6</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100,9</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1060902" protected="0"/>
          </w:tcPr>
          <w:p>
            <w:pPr>
              <w:rPr>
                <w:b/>
                <w:bCs/>
                <w:color w:val="000000"/>
              </w:rPr>
            </w:pPr>
            <w:r>
              <w:rPr>
                <w:b/>
                <w:bCs/>
                <w:color w:val="000000"/>
              </w:rPr>
              <w:t>21195,8</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1060902" protected="0"/>
          </w:tcPr>
          <w:p>
            <w:pPr>
              <w:rPr>
                <w:b/>
                <w:bCs/>
                <w:color w:val="000000"/>
              </w:rPr>
            </w:pPr>
            <w:r>
              <w:rPr>
                <w:b/>
                <w:bCs/>
                <w:color w:val="000000"/>
              </w:rPr>
              <w:t>134,5</w:t>
            </w:r>
          </w:p>
        </w:tc>
      </w:tr>
      <w:tr>
        <w:trPr>
          <w:tblHeader w:val="0"/>
          <w:cantSplit w:val="0"/>
          <w:trHeight w:val="204"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nil" w:sz="0" w:space="0" w:color="000000" tmln="20, 20, 20, 0, 0"/>
              <w:right w:val="single" w:sz="4" w:space="0" w:color="000000" tmln="10, 20, 20, 0, 0"/>
              <w:tl2br w:val="nil" w:sz="0" w:space="0" w:color="000000" tmln="20, 20, 20, 0, 0"/>
              <w:tr2bl w:val="nil" w:sz="0" w:space="0" w:color="000000" tmln="20, 20, 20, 0, 0"/>
            </w:tcBorders>
            <w:tmTcPr id="1781060902" protected="0"/>
          </w:tcPr>
          <w:p>
            <w:pPr>
              <w:contextualSpacing/>
              <w:widowControl/>
              <w:rPr>
                <w:color w:val="000000"/>
              </w:rPr>
            </w:pPr>
            <w:r>
              <w:rPr>
                <w:color w:val="000000"/>
                <w:sz w:val="24"/>
                <w:szCs w:val="24"/>
              </w:rPr>
              <w:t>Налог на имущество физ. лиц</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16341,2</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19885,0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21350,0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21135,4</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1250,4</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106,3</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-214,6</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99,0</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nil" w:sz="0" w:space="0" w:color="000000" tmln="20, 20, 20, 0, 0"/>
              <w:right w:val="nil" w:sz="0" w:space="0" w:color="000000" tmln="20, 20, 20, 0, 0"/>
              <w:tl2br w:val="nil" w:sz="0" w:space="0" w:color="000000" tmln="20, 20, 20, 0, 0"/>
              <w:tr2bl w:val="nil" w:sz="0" w:space="0" w:color="000000" tmln="20, 20, 20, 0, 0"/>
            </w:tcBorders>
            <w:tmTcPr id="1781060902" protected="0"/>
          </w:tcPr>
          <w:p>
            <w:pPr>
              <w:rPr>
                <w:color w:val="000000"/>
              </w:rPr>
            </w:pPr>
            <w:r>
              <w:rPr>
                <w:color w:val="000000"/>
              </w:rPr>
              <w:t>4794,2</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nil" w:sz="0" w:space="0" w:color="000000" tmln="20, 20, 20, 0, 0"/>
              <w:right w:val="single" w:sz="16" w:space="0" w:color="000000" tmln="40, 20, 20, 0, 0"/>
              <w:tl2br w:val="nil" w:sz="0" w:space="0" w:color="000000" tmln="20, 20, 20, 0, 0"/>
              <w:tr2bl w:val="nil" w:sz="0" w:space="0" w:color="000000" tmln="20, 20, 20, 0, 0"/>
            </w:tcBorders>
            <w:tmTcPr id="1781060902" protected="0"/>
          </w:tcPr>
          <w:p>
            <w:pPr>
              <w:rPr>
                <w:color w:val="000000"/>
              </w:rPr>
            </w:pPr>
            <w:r>
              <w:rPr>
                <w:color w:val="000000"/>
              </w:rPr>
              <w:t>129,3</w:t>
            </w:r>
          </w:p>
        </w:tc>
      </w:tr>
      <w:tr>
        <w:trPr>
          <w:tblHeader w:val="0"/>
          <w:cantSplit w:val="0"/>
          <w:trHeight w:val="251" w:hRule="atLeast"/>
        </w:trPr>
        <w:tc>
          <w:tcPr>
            <w:tcW w:w="2995" w:type="dxa"/>
            <w:vAlign w:val="center"/>
            <w:shd w:val="none"/>
            <w:tcMar>
              <w:top w:w="0" w:type="dxa"/>
              <w:left w:w="108" w:type="dxa"/>
              <w:bottom w:w="0" w:type="dxa"/>
              <w:right w:w="108" w:type="dxa"/>
            </w:tcMar>
            <w:tcBorders>
              <w:top w:val="single" w:sz="16" w:space="0" w:color="000000" tmln="4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contextualSpacing/>
              <w:widowControl/>
              <w:rPr>
                <w:color w:val="000000"/>
              </w:rPr>
            </w:pPr>
            <w:r>
              <w:rPr>
                <w:color w:val="000000"/>
                <w:sz w:val="24"/>
                <w:szCs w:val="24"/>
              </w:rPr>
              <w:t>Транспортный налог</w:t>
            </w:r>
            <w:r>
              <w:rPr>
                <w:color w:val="000000"/>
              </w:rPr>
            </w:r>
          </w:p>
        </w:tc>
        <w:tc>
          <w:tcPr>
            <w:tcW w:w="1257" w:type="dxa"/>
            <w:vAlign w:val="bottom"/>
            <w:shd w:val="none"/>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2642,7</w:t>
            </w:r>
          </w:p>
        </w:tc>
        <w:tc>
          <w:tcPr>
            <w:tcW w:w="1261" w:type="dxa"/>
            <w:vAlign w:val="bottom"/>
            <w:shd w:val="none"/>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2487,0</w:t>
            </w:r>
          </w:p>
        </w:tc>
        <w:tc>
          <w:tcPr>
            <w:tcW w:w="1405" w:type="dxa"/>
            <w:vAlign w:val="bottom"/>
            <w:shd w:val="none"/>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2659,0</w:t>
            </w:r>
          </w:p>
        </w:tc>
        <w:tc>
          <w:tcPr>
            <w:tcW w:w="1404" w:type="dxa"/>
            <w:vAlign w:val="bottom"/>
            <w:shd w:val="none"/>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2554,3</w:t>
            </w:r>
          </w:p>
        </w:tc>
        <w:tc>
          <w:tcPr>
            <w:tcW w:w="1486" w:type="dxa"/>
            <w:vAlign w:val="bottom"/>
            <w:shd w:val="solid" w:color="FFFFFF" tmshd="6553856, 16777215, 16777215"/>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67,3</w:t>
            </w:r>
          </w:p>
        </w:tc>
        <w:tc>
          <w:tcPr>
            <w:tcW w:w="954" w:type="dxa"/>
            <w:vAlign w:val="bottom"/>
            <w:shd w:val="none"/>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102,7</w:t>
            </w:r>
          </w:p>
        </w:tc>
        <w:tc>
          <w:tcPr>
            <w:tcW w:w="1398" w:type="dxa"/>
            <w:vAlign w:val="bottom"/>
            <w:shd w:val="solid" w:color="FFFFFF" tmshd="6553856, 16777215, 16777215"/>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-104,7</w:t>
            </w:r>
          </w:p>
        </w:tc>
        <w:tc>
          <w:tcPr>
            <w:tcW w:w="1227" w:type="dxa"/>
            <w:vAlign w:val="bottom"/>
            <w:shd w:val="solid" w:color="FFFFFF" tmshd="6553856, 16777215, 16777215"/>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96,1</w:t>
            </w:r>
          </w:p>
        </w:tc>
        <w:tc>
          <w:tcPr>
            <w:tcW w:w="1285" w:type="dxa"/>
            <w:vAlign w:val="bottom"/>
            <w:shd w:val="solid" w:color="FFFFFF" tmshd="6553856, 16777215, 16777215"/>
            <w:tcMar>
              <w:top w:w="0" w:type="dxa"/>
              <w:left w:w="108" w:type="dxa"/>
              <w:bottom w:w="0" w:type="dxa"/>
              <w:right w:w="108" w:type="dxa"/>
            </w:tcMar>
            <w:tcBorders>
              <w:top w:val="single" w:sz="16" w:space="0" w:color="000000" tmln="4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1060902" protected="0"/>
          </w:tcPr>
          <w:p>
            <w:pPr>
              <w:rPr>
                <w:color w:val="000000"/>
              </w:rPr>
            </w:pPr>
            <w:r>
              <w:rPr>
                <w:color w:val="000000"/>
              </w:rPr>
              <w:t>-88,4</w:t>
            </w:r>
          </w:p>
        </w:tc>
        <w:tc>
          <w:tcPr>
            <w:tcW w:w="1214" w:type="dxa"/>
            <w:vAlign w:val="bottom"/>
            <w:shd w:val="solid" w:color="FFFFFF" tmshd="6553856, 16777215, 16777215"/>
            <w:tcMar>
              <w:top w:w="0" w:type="dxa"/>
              <w:left w:w="108" w:type="dxa"/>
              <w:bottom w:w="0" w:type="dxa"/>
              <w:right w:w="108" w:type="dxa"/>
            </w:tcMar>
            <w:tcBorders>
              <w:top w:val="single" w:sz="16" w:space="0" w:color="000000" tmln="4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1060902" protected="0"/>
          </w:tcPr>
          <w:p>
            <w:pPr>
              <w:rPr>
                <w:color w:val="000000"/>
              </w:rPr>
            </w:pPr>
            <w:r>
              <w:rPr>
                <w:color w:val="000000"/>
              </w:rPr>
              <w:t>96,7</w:t>
            </w:r>
          </w:p>
        </w:tc>
      </w:tr>
      <w:tr>
        <w:trPr>
          <w:tblHeader w:val="0"/>
          <w:cantSplit w:val="0"/>
          <w:trHeight w:val="113"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contextualSpacing/>
              <w:widowControl/>
              <w:rPr>
                <w:color w:val="000000"/>
              </w:rPr>
            </w:pPr>
            <w:r>
              <w:rPr>
                <w:color w:val="000000"/>
                <w:sz w:val="24"/>
                <w:szCs w:val="24"/>
              </w:rPr>
              <w:t>Земельный налог</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42389,9</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43666,0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57860,0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58879,9</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15213,9</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134,8</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1019,9</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1001,8</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1060902" protected="0"/>
          </w:tcPr>
          <w:p>
            <w:pPr>
              <w:rPr>
                <w:color w:val="000000"/>
              </w:rPr>
            </w:pPr>
            <w:r>
              <w:rPr>
                <w:color w:val="000000"/>
              </w:rPr>
              <w:t>16490,0</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1060902" protected="0"/>
          </w:tcPr>
          <w:p>
            <w:pPr>
              <w:rPr>
                <w:color w:val="000000"/>
              </w:rPr>
            </w:pPr>
            <w:r>
              <w:rPr>
                <w:color w:val="000000"/>
              </w:rPr>
              <w:t>138,9</w:t>
            </w:r>
          </w:p>
        </w:tc>
      </w:tr>
      <w:tr>
        <w:trPr>
          <w:tblHeader w:val="0"/>
          <w:cantSplit w:val="0"/>
          <w:trHeight w:val="158"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contextualSpacing/>
              <w:widowControl/>
              <w:rPr>
                <w:color w:val="000000"/>
              </w:rPr>
            </w:pPr>
            <w:r>
              <w:rPr>
                <w:b/>
                <w:bCs/>
                <w:color w:val="000000"/>
                <w:sz w:val="24"/>
                <w:szCs w:val="24"/>
              </w:rPr>
              <w:t>Государственная пошлина</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18599,3</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13613,0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36742,0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36210,9</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22597,9</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266</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-531,1</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98,6</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1060902" protected="0"/>
          </w:tcPr>
          <w:p>
            <w:pPr>
              <w:rPr>
                <w:b/>
                <w:bCs/>
                <w:color w:val="000000"/>
              </w:rPr>
            </w:pPr>
            <w:r>
              <w:rPr>
                <w:b/>
                <w:bCs/>
                <w:color w:val="000000"/>
              </w:rPr>
              <w:t>17611,6</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1060902" protected="0"/>
          </w:tcPr>
          <w:p>
            <w:pPr>
              <w:rPr>
                <w:b/>
                <w:bCs/>
                <w:color w:val="000000"/>
              </w:rPr>
            </w:pPr>
            <w:r>
              <w:rPr>
                <w:b/>
                <w:bCs/>
                <w:color w:val="000000"/>
              </w:rPr>
              <w:t>194,7</w:t>
            </w:r>
          </w:p>
        </w:tc>
      </w:tr>
      <w:tr>
        <w:trPr>
          <w:tblHeader w:val="0"/>
          <w:cantSplit w:val="0"/>
          <w:trHeight w:val="185"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contextualSpacing/>
              <w:widowControl/>
              <w:rPr>
                <w:color w:val="000000"/>
              </w:rPr>
            </w:pPr>
            <w:r>
              <w:rPr>
                <w:bCs/>
                <w:color w:val="000000"/>
                <w:sz w:val="24"/>
                <w:szCs w:val="24"/>
              </w:rPr>
              <w:t>Госпошлина по делам,рассматриваемым в судах общей юрисдикции,мировыми судьями</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18554,3</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13608,0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36742,0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36210,9</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22602,9</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266,1</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-531,1</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98,6</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1060902" protected="0"/>
          </w:tcPr>
          <w:p>
            <w:pPr>
              <w:rPr>
                <w:color w:val="000000"/>
              </w:rPr>
            </w:pPr>
            <w:r>
              <w:rPr>
                <w:color w:val="000000"/>
              </w:rPr>
              <w:t>17656,6</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1060902" protected="0"/>
          </w:tcPr>
          <w:p>
            <w:pPr>
              <w:rPr>
                <w:color w:val="000000"/>
              </w:rPr>
            </w:pPr>
            <w:r>
              <w:rPr>
                <w:color w:val="000000"/>
              </w:rPr>
              <w:t>195,2</w:t>
            </w:r>
          </w:p>
        </w:tc>
      </w:tr>
      <w:tr>
        <w:trPr>
          <w:tblHeader w:val="0"/>
          <w:cantSplit w:val="0"/>
          <w:trHeight w:val="158" w:hRule="atLeast"/>
        </w:trPr>
        <w:tc>
          <w:tcPr>
            <w:tcW w:w="2995" w:type="dxa"/>
            <w:vAlign w:val="bottom"/>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widowControl/>
              <w:rPr>
                <w:color w:val="000000"/>
              </w:rPr>
            </w:pPr>
            <w:r>
              <w:rPr>
                <w:color w:val="000000"/>
                <w:sz w:val="24"/>
                <w:szCs w:val="24"/>
              </w:rPr>
              <w:t>Госпошлина за выдачу разрешения на установку рекламной конструкции</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45,0</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5,0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0</w:t>
            </w:r>
          </w:p>
        </w:tc>
        <w:tc>
          <w:tcPr>
            <w:tcW w:w="1404"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0</w:t>
            </w:r>
          </w:p>
        </w:tc>
        <w:tc>
          <w:tcPr>
            <w:tcW w:w="1486"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-5,0</w:t>
            </w:r>
          </w:p>
        </w:tc>
        <w:tc>
          <w:tcPr>
            <w:tcW w:w="954"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0</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0</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1060902" protected="0"/>
          </w:tcPr>
          <w:p>
            <w:pPr>
              <w:rPr>
                <w:color w:val="000000"/>
              </w:rPr>
            </w:pPr>
            <w:r>
              <w:rPr>
                <w:color w:val="000000"/>
              </w:rPr>
              <w:t>0</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1060902" protected="0"/>
          </w:tcPr>
          <w:p>
            <w:pPr>
              <w:rPr>
                <w:color w:val="000000"/>
              </w:rPr>
            </w:pPr>
            <w:r>
              <w:rPr>
                <w:color w:val="000000"/>
              </w:rPr>
              <w:t>-45,0</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1060902" protected="0"/>
          </w:tcPr>
          <w:p>
            <w:pPr>
              <w:rPr>
                <w:color w:val="000000"/>
              </w:rPr>
            </w:pPr>
            <w:r>
              <w:rPr>
                <w:color w:val="000000"/>
              </w:rPr>
              <w:t>0</w:t>
            </w:r>
          </w:p>
        </w:tc>
      </w:tr>
      <w:tr>
        <w:trPr>
          <w:tblHeader w:val="0"/>
          <w:cantSplit w:val="0"/>
          <w:trHeight w:val="346"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contextualSpacing/>
              <w:widowControl/>
              <w:rPr>
                <w:color w:val="000000"/>
              </w:rPr>
            </w:pPr>
            <w:r>
              <w:rPr>
                <w:b/>
                <w:bCs/>
                <w:color w:val="000000"/>
                <w:sz w:val="24"/>
                <w:szCs w:val="24"/>
              </w:rPr>
              <w:t xml:space="preserve">Задолженность по отмененным налогам, сборам </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0</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0</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0</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0</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0</w:t>
            </w:r>
          </w:p>
        </w:tc>
        <w:tc>
          <w:tcPr>
            <w:tcW w:w="122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0</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0</w:t>
            </w:r>
          </w:p>
        </w:tc>
        <w:tc>
          <w:tcPr>
            <w:tcW w:w="121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16" w:space="0" w:color="000000" tmln="40, 20, 20, 0, 0"/>
              <w:tl2br w:val="nil" w:sz="0" w:space="0" w:color="000000" tmln="20, 20, 20, 0, 0"/>
              <w:tr2bl w:val="nil" w:sz="0" w:space="0" w:color="000000" tmln="20, 20, 20, 0, 0"/>
            </w:tcBorders>
            <w:tmTcPr id="1781060902" protected="0"/>
          </w:tcPr>
          <w:p>
            <w:pPr>
              <w:rPr>
                <w:color w:val="000000"/>
              </w:rPr>
            </w:pPr>
            <w:r>
              <w:rPr>
                <w:color w:val="000000"/>
              </w:rPr>
              <w:t>0</w:t>
            </w:r>
          </w:p>
        </w:tc>
      </w:tr>
      <w:tr>
        <w:trPr>
          <w:tblHeader w:val="0"/>
          <w:cantSplit w:val="0"/>
          <w:trHeight w:val="169" w:hRule="atLeast"/>
        </w:trPr>
        <w:tc>
          <w:tcPr>
            <w:tcW w:w="2995" w:type="dxa"/>
            <w:vAlign w:val="center"/>
            <w:shd w:val="solid" w:color="FFFFFF" tmshd="6553856, 16777215, 16777215"/>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contextualSpacing/>
              <w:widowControl/>
              <w:rPr>
                <w:color w:val="000000"/>
              </w:rPr>
            </w:pPr>
            <w:r>
              <w:rPr>
                <w:b/>
                <w:bCs/>
                <w:color w:val="000000"/>
                <w:sz w:val="24"/>
                <w:szCs w:val="24"/>
              </w:rPr>
              <w:t>Неналоговые доходы</w:t>
            </w:r>
            <w:r>
              <w:rPr>
                <w:color w:val="000000"/>
              </w:rPr>
            </w:r>
          </w:p>
        </w:tc>
        <w:tc>
          <w:tcPr>
            <w:tcW w:w="125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126047,6</w:t>
            </w:r>
          </w:p>
        </w:tc>
        <w:tc>
          <w:tcPr>
            <w:tcW w:w="1261"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111385,0</w:t>
            </w:r>
          </w:p>
        </w:tc>
        <w:tc>
          <w:tcPr>
            <w:tcW w:w="1405"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129664,2</w:t>
            </w:r>
          </w:p>
        </w:tc>
        <w:tc>
          <w:tcPr>
            <w:tcW w:w="1404"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138880,9</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27495,9</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124,7</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9216,7</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107,1</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1060902" protected="0"/>
          </w:tcPr>
          <w:p>
            <w:pPr>
              <w:rPr>
                <w:color w:val="000000"/>
              </w:rPr>
            </w:pPr>
            <w:r>
              <w:rPr>
                <w:color w:val="000000"/>
              </w:rPr>
              <w:t>12833,3</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1060902" protected="0"/>
          </w:tcPr>
          <w:p>
            <w:pPr>
              <w:rPr>
                <w:color w:val="000000"/>
              </w:rPr>
            </w:pPr>
            <w:r>
              <w:rPr>
                <w:color w:val="000000"/>
              </w:rPr>
              <w:t>110,2</w:t>
            </w:r>
          </w:p>
        </w:tc>
      </w:tr>
      <w:tr>
        <w:trPr>
          <w:tblHeader w:val="0"/>
          <w:cantSplit w:val="0"/>
          <w:trHeight w:val="619"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contextualSpacing/>
              <w:widowControl/>
              <w:rPr>
                <w:color w:val="000000"/>
              </w:rPr>
            </w:pPr>
            <w:r>
              <w:rPr>
                <w:b/>
                <w:bCs/>
                <w:color w:val="000000"/>
                <w:sz w:val="24"/>
                <w:szCs w:val="24"/>
              </w:rPr>
              <w:t>Доходы от исполь-ния имущ-ва, находящ-ся в гос. и мун. собственности</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97389,3</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96296,0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97611,0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105134,9</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8838,9</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109,2</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7523,9</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107,7</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1060902" protected="0"/>
          </w:tcPr>
          <w:p>
            <w:pPr>
              <w:rPr>
                <w:color w:val="000000"/>
              </w:rPr>
            </w:pPr>
            <w:r>
              <w:rPr>
                <w:color w:val="000000"/>
              </w:rPr>
              <w:t>7745,6</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1060902" protected="0"/>
          </w:tcPr>
          <w:p>
            <w:pPr>
              <w:rPr>
                <w:color w:val="000000"/>
              </w:rPr>
            </w:pPr>
            <w:r>
              <w:rPr>
                <w:color w:val="000000"/>
              </w:rPr>
              <w:t>108,0</w:t>
            </w:r>
          </w:p>
        </w:tc>
      </w:tr>
      <w:tr>
        <w:trPr>
          <w:tblHeader w:val="0"/>
          <w:cantSplit w:val="0"/>
          <w:trHeight w:val="600" w:hRule="atLeast"/>
        </w:trPr>
        <w:tc>
          <w:tcPr>
            <w:tcW w:w="2995" w:type="dxa"/>
            <w:vAlign w:val="center"/>
            <w:shd w:val="none"/>
            <w:tcMar>
              <w:top w:w="0" w:type="dxa"/>
              <w:left w:w="108" w:type="dxa"/>
              <w:bottom w:w="0" w:type="dxa"/>
              <w:right w:w="108" w:type="dxa"/>
            </w:tcMar>
            <w:tcBorders>
              <w:top w:val="single" w:sz="4" w:space="0" w:color="000000" tmln="1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contextualSpacing/>
              <w:widowControl/>
              <w:rPr>
                <w:color w:val="000000"/>
              </w:rPr>
            </w:pPr>
            <w:r>
              <w:rPr>
                <w:color w:val="000000"/>
                <w:sz w:val="24"/>
                <w:szCs w:val="24"/>
              </w:rPr>
              <w:t>Доходы от сдачи в аренду имущества, наход-ся в гос. и мун. собственности</w:t>
            </w:r>
            <w:r>
              <w:rPr>
                <w:color w:val="000000"/>
              </w:rPr>
            </w:r>
          </w:p>
        </w:tc>
        <w:tc>
          <w:tcPr>
            <w:tcW w:w="1257" w:type="dxa"/>
            <w:vAlign w:val="bottom"/>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90639,9</w:t>
            </w:r>
          </w:p>
        </w:tc>
        <w:tc>
          <w:tcPr>
            <w:tcW w:w="1261" w:type="dxa"/>
            <w:vAlign w:val="bottom"/>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90490,0</w:t>
            </w:r>
          </w:p>
        </w:tc>
        <w:tc>
          <w:tcPr>
            <w:tcW w:w="1405" w:type="dxa"/>
            <w:vAlign w:val="bottom"/>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89356,0</w:t>
            </w:r>
          </w:p>
        </w:tc>
        <w:tc>
          <w:tcPr>
            <w:tcW w:w="1404" w:type="dxa"/>
            <w:vAlign w:val="bottom"/>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96718,3</w:t>
            </w:r>
          </w:p>
        </w:tc>
        <w:tc>
          <w:tcPr>
            <w:tcW w:w="1486" w:type="dxa"/>
            <w:vAlign w:val="bottom"/>
            <w:shd w:val="solid" w:color="FFFFFF" tmshd="6553856, 16777215, 16777215"/>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6228,3</w:t>
            </w:r>
          </w:p>
        </w:tc>
        <w:tc>
          <w:tcPr>
            <w:tcW w:w="954" w:type="dxa"/>
            <w:vAlign w:val="bottom"/>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106,9</w:t>
            </w:r>
          </w:p>
        </w:tc>
        <w:tc>
          <w:tcPr>
            <w:tcW w:w="1398" w:type="dxa"/>
            <w:vAlign w:val="bottom"/>
            <w:shd w:val="solid" w:color="FFFFFF" tmshd="6553856, 16777215, 16777215"/>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7362,3</w:t>
            </w:r>
          </w:p>
        </w:tc>
        <w:tc>
          <w:tcPr>
            <w:tcW w:w="1227" w:type="dxa"/>
            <w:vAlign w:val="bottom"/>
            <w:shd w:val="solid" w:color="FFFFFF" tmshd="6553856, 16777215, 16777215"/>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108,2</w:t>
            </w:r>
          </w:p>
        </w:tc>
        <w:tc>
          <w:tcPr>
            <w:tcW w:w="1285" w:type="dxa"/>
            <w:vAlign w:val="bottom"/>
            <w:shd w:val="solid" w:color="FFFFFF" tmshd="6553856, 16777215,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1060902" protected="0"/>
          </w:tcPr>
          <w:p>
            <w:pPr>
              <w:rPr>
                <w:color w:val="000000"/>
              </w:rPr>
            </w:pPr>
            <w:r>
              <w:rPr>
                <w:color w:val="000000"/>
              </w:rPr>
              <w:t>6078,4</w:t>
            </w:r>
          </w:p>
        </w:tc>
        <w:tc>
          <w:tcPr>
            <w:tcW w:w="1214" w:type="dxa"/>
            <w:vAlign w:val="bottom"/>
            <w:shd w:val="solid" w:color="FFFFFF" tmshd="6553856, 16777215,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1060902" protected="0"/>
          </w:tcPr>
          <w:p>
            <w:pPr>
              <w:rPr>
                <w:color w:val="000000"/>
              </w:rPr>
            </w:pPr>
            <w:r>
              <w:rPr>
                <w:color w:val="000000"/>
              </w:rPr>
              <w:t>106,7</w:t>
            </w:r>
          </w:p>
        </w:tc>
      </w:tr>
      <w:tr>
        <w:trPr>
          <w:tblHeader w:val="0"/>
          <w:cantSplit w:val="0"/>
          <w:trHeight w:val="1155"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nil" w:sz="0" w:space="0" w:color="000000" tmln="20, 20, 20, 0, 0"/>
              <w:right w:val="single" w:sz="4" w:space="0" w:color="000000" tmln="10, 20, 20, 0, 0"/>
              <w:tl2br w:val="nil" w:sz="0" w:space="0" w:color="000000" tmln="20, 20, 20, 0, 0"/>
              <w:tr2bl w:val="nil" w:sz="0" w:space="0" w:color="000000" tmln="20, 20, 20, 0, 0"/>
            </w:tcBorders>
            <w:tmTcPr id="1781060902" protected="0"/>
          </w:tcPr>
          <w:p>
            <w:pPr>
              <w:widowControl/>
              <w:rPr>
                <w:color w:val="000000"/>
              </w:rPr>
            </w:pPr>
            <w:r>
              <w:rPr>
                <w:color w:val="000000"/>
                <w:sz w:val="24"/>
                <w:szCs w:val="24"/>
              </w:rPr>
              <w:t>Доходы, получаемые в виде арендн.платы за зем. уч-ки, гос. собственность на которые не разграни-чена, а также ср-ва от продажи права на заклю-чение договоров аренды указанных зем.уч-ов</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65840,7</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66672,0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67384,0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72721,5</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6049,5</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109,1</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5337,5</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107,9</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nil" w:sz="0" w:space="0" w:color="000000" tmln="20, 20, 20, 0, 0"/>
              <w:right w:val="nil" w:sz="0" w:space="0" w:color="000000" tmln="20, 20, 20, 0, 0"/>
              <w:tl2br w:val="nil" w:sz="0" w:space="0" w:color="000000" tmln="20, 20, 20, 0, 0"/>
              <w:tr2bl w:val="nil" w:sz="0" w:space="0" w:color="000000" tmln="20, 20, 20, 0, 0"/>
            </w:tcBorders>
            <w:tmTcPr id="1781060902" protected="0"/>
          </w:tcPr>
          <w:p>
            <w:pPr>
              <w:rPr>
                <w:color w:val="000000"/>
              </w:rPr>
            </w:pPr>
            <w:r>
              <w:rPr>
                <w:color w:val="000000"/>
              </w:rPr>
              <w:t>6880,8</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nil" w:sz="0" w:space="0" w:color="000000" tmln="20, 20, 20, 0, 0"/>
              <w:right w:val="single" w:sz="16" w:space="0" w:color="000000" tmln="40, 20, 20, 0, 0"/>
              <w:tl2br w:val="nil" w:sz="0" w:space="0" w:color="000000" tmln="20, 20, 20, 0, 0"/>
              <w:tr2bl w:val="nil" w:sz="0" w:space="0" w:color="000000" tmln="20, 20, 20, 0, 0"/>
            </w:tcBorders>
            <w:tmTcPr id="1781060902" protected="0"/>
          </w:tcPr>
          <w:p>
            <w:pPr>
              <w:rPr>
                <w:color w:val="000000"/>
              </w:rPr>
            </w:pPr>
            <w:r>
              <w:rPr>
                <w:color w:val="000000"/>
              </w:rPr>
              <w:t>110,5</w:t>
            </w:r>
          </w:p>
        </w:tc>
      </w:tr>
      <w:tr>
        <w:trPr>
          <w:tblHeader w:val="0"/>
          <w:cantSplit w:val="0"/>
          <w:trHeight w:val="1140" w:hRule="atLeast"/>
        </w:trPr>
        <w:tc>
          <w:tcPr>
            <w:tcW w:w="2995" w:type="dxa"/>
            <w:vAlign w:val="center"/>
            <w:shd w:val="none"/>
            <w:tcMar>
              <w:top w:w="0" w:type="dxa"/>
              <w:left w:w="108" w:type="dxa"/>
              <w:bottom w:w="0" w:type="dxa"/>
              <w:right w:w="108" w:type="dxa"/>
            </w:tcMar>
            <w:tcBorders>
              <w:top w:val="single" w:sz="8" w:space="0" w:color="000000" tmln="20, 20, 20, 0, 0"/>
              <w:left w:val="single" w:sz="16" w:space="0" w:color="000000" tmln="4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widowControl/>
              <w:rPr>
                <w:color w:val="000000"/>
              </w:rPr>
            </w:pPr>
            <w:r>
              <w:rPr>
                <w:color w:val="000000"/>
                <w:sz w:val="24"/>
                <w:szCs w:val="24"/>
              </w:rPr>
              <w:t>Доходы, получ. в виде арендн. платы за земли после разграничения гос. собст-ности на  землю, а также ср-ва от продажи права на заключение дог-ров аренды указанных зем.уч-ков (за исключ. зем.уч-ков автономных учреждений)</w:t>
            </w:r>
            <w:r>
              <w:rPr>
                <w:color w:val="000000"/>
              </w:rPr>
            </w:r>
          </w:p>
        </w:tc>
        <w:tc>
          <w:tcPr>
            <w:tcW w:w="1257"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rPr>
                <w:color w:val="000000"/>
              </w:rPr>
            </w:pPr>
            <w:r>
              <w:rPr>
                <w:color w:val="000000"/>
              </w:rPr>
              <w:t>2563,3</w:t>
            </w:r>
          </w:p>
        </w:tc>
        <w:tc>
          <w:tcPr>
            <w:tcW w:w="1261"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rPr>
                <w:color w:val="000000"/>
              </w:rPr>
            </w:pPr>
            <w:r>
              <w:rPr>
                <w:color w:val="000000"/>
              </w:rPr>
              <w:t>2503,0</w:t>
            </w:r>
          </w:p>
        </w:tc>
        <w:tc>
          <w:tcPr>
            <w:tcW w:w="1405"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rPr>
                <w:color w:val="000000"/>
              </w:rPr>
            </w:pPr>
            <w:r>
              <w:rPr>
                <w:color w:val="000000"/>
              </w:rPr>
              <w:t>350</w:t>
            </w:r>
          </w:p>
        </w:tc>
        <w:tc>
          <w:tcPr>
            <w:tcW w:w="1404"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rPr>
                <w:color w:val="000000"/>
              </w:rPr>
            </w:pPr>
            <w:r>
              <w:rPr>
                <w:color w:val="000000"/>
              </w:rPr>
              <w:t>360,5</w:t>
            </w:r>
          </w:p>
        </w:tc>
        <w:tc>
          <w:tcPr>
            <w:tcW w:w="1486"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rPr>
                <w:color w:val="000000"/>
              </w:rPr>
            </w:pPr>
            <w:r>
              <w:rPr>
                <w:color w:val="000000"/>
              </w:rPr>
              <w:t>-2142,5</w:t>
            </w:r>
          </w:p>
        </w:tc>
        <w:tc>
          <w:tcPr>
            <w:tcW w:w="954"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rPr>
                <w:color w:val="000000"/>
              </w:rPr>
            </w:pPr>
            <w:r>
              <w:rPr>
                <w:color w:val="000000"/>
              </w:rPr>
              <w:t>14,4</w:t>
            </w:r>
          </w:p>
        </w:tc>
        <w:tc>
          <w:tcPr>
            <w:tcW w:w="1398"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rPr>
                <w:color w:val="000000"/>
              </w:rPr>
            </w:pPr>
            <w:r>
              <w:rPr>
                <w:color w:val="000000"/>
              </w:rPr>
              <w:t>10,5</w:t>
            </w:r>
          </w:p>
        </w:tc>
        <w:tc>
          <w:tcPr>
            <w:tcW w:w="1227"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rPr>
                <w:color w:val="000000"/>
              </w:rPr>
            </w:pPr>
            <w:r>
              <w:rPr>
                <w:color w:val="000000"/>
              </w:rPr>
              <w:t>103</w:t>
            </w:r>
          </w:p>
        </w:tc>
        <w:tc>
          <w:tcPr>
            <w:tcW w:w="1285"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rPr>
                <w:color w:val="000000"/>
              </w:rPr>
            </w:pPr>
            <w:r>
              <w:rPr>
                <w:color w:val="000000"/>
              </w:rPr>
              <w:t>-2202,8</w:t>
            </w:r>
          </w:p>
        </w:tc>
        <w:tc>
          <w:tcPr>
            <w:tcW w:w="1214"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16" w:space="0" w:color="000000" tmln="40, 20, 20, 0, 0"/>
              <w:tl2br w:val="nil" w:sz="0" w:space="0" w:color="000000" tmln="20, 20, 20, 0, 0"/>
              <w:tr2bl w:val="nil" w:sz="0" w:space="0" w:color="000000" tmln="20, 20, 20, 0, 0"/>
            </w:tcBorders>
            <w:tmTcPr id="1781060902" protected="0"/>
          </w:tcPr>
          <w:p>
            <w:pPr>
              <w:rPr>
                <w:color w:val="000000"/>
              </w:rPr>
            </w:pPr>
            <w:r>
              <w:rPr>
                <w:color w:val="000000"/>
              </w:rPr>
              <w:t>14,1</w:t>
            </w:r>
          </w:p>
        </w:tc>
      </w:tr>
      <w:tr>
        <w:trPr>
          <w:tblHeader w:val="0"/>
          <w:cantSplit w:val="0"/>
          <w:trHeight w:val="675" w:hRule="atLeast"/>
        </w:trPr>
        <w:tc>
          <w:tcPr>
            <w:tcW w:w="2995" w:type="dxa"/>
            <w:vAlign w:val="center"/>
            <w:shd w:val="none"/>
            <w:tcMar>
              <w:top w:w="0" w:type="dxa"/>
              <w:left w:w="108" w:type="dxa"/>
              <w:bottom w:w="0" w:type="dxa"/>
              <w:right w:w="108" w:type="dxa"/>
            </w:tcMar>
            <w:tcBorders>
              <w:top w:val="single" w:sz="8" w:space="0" w:color="000000" tmln="20, 20, 20, 0, 0"/>
              <w:left w:val="single" w:sz="16" w:space="0" w:color="000000" tmln="4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widowControl/>
              <w:rPr>
                <w:color w:val="000000"/>
              </w:rPr>
            </w:pPr>
            <w:r>
              <w:rPr>
                <w:color w:val="000000"/>
                <w:sz w:val="24"/>
                <w:szCs w:val="24"/>
              </w:rPr>
              <w:t>Доходы, получ. в виде арендной либо иной платы за передачу в возмездное пользование гос. и муниц. имущ-ва (за исключением имущ-ва автономных учреждений)</w:t>
            </w:r>
            <w:r>
              <w:rPr>
                <w:color w:val="000000"/>
              </w:rPr>
            </w:r>
          </w:p>
        </w:tc>
        <w:tc>
          <w:tcPr>
            <w:tcW w:w="1257"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rPr>
                <w:color w:val="000000"/>
              </w:rPr>
            </w:pPr>
            <w:r>
              <w:rPr>
                <w:color w:val="000000"/>
              </w:rPr>
              <w:t>512,4</w:t>
            </w:r>
          </w:p>
        </w:tc>
        <w:tc>
          <w:tcPr>
            <w:tcW w:w="1261"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rPr>
                <w:color w:val="000000"/>
              </w:rPr>
            </w:pPr>
            <w:r>
              <w:rPr>
                <w:color w:val="000000"/>
              </w:rPr>
              <w:t>456,0</w:t>
            </w:r>
          </w:p>
        </w:tc>
        <w:tc>
          <w:tcPr>
            <w:tcW w:w="1405"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rPr>
                <w:color w:val="000000"/>
              </w:rPr>
            </w:pPr>
            <w:r>
              <w:rPr>
                <w:color w:val="000000"/>
              </w:rPr>
              <w:t>402,0</w:t>
            </w:r>
          </w:p>
        </w:tc>
        <w:tc>
          <w:tcPr>
            <w:tcW w:w="1404"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rPr>
                <w:color w:val="000000"/>
              </w:rPr>
            </w:pPr>
            <w:r>
              <w:rPr>
                <w:color w:val="000000"/>
              </w:rPr>
              <w:t>464,3</w:t>
            </w:r>
          </w:p>
        </w:tc>
        <w:tc>
          <w:tcPr>
            <w:tcW w:w="1486"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rPr>
                <w:color w:val="000000"/>
              </w:rPr>
            </w:pPr>
            <w:r>
              <w:rPr>
                <w:color w:val="000000"/>
              </w:rPr>
              <w:t>8,3</w:t>
            </w:r>
          </w:p>
        </w:tc>
        <w:tc>
          <w:tcPr>
            <w:tcW w:w="954"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rPr>
                <w:color w:val="000000"/>
              </w:rPr>
            </w:pPr>
            <w:r>
              <w:rPr>
                <w:color w:val="000000"/>
              </w:rPr>
              <w:t>101,8</w:t>
            </w:r>
          </w:p>
        </w:tc>
        <w:tc>
          <w:tcPr>
            <w:tcW w:w="1398"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rPr>
                <w:color w:val="000000"/>
              </w:rPr>
            </w:pPr>
            <w:r>
              <w:rPr>
                <w:color w:val="000000"/>
              </w:rPr>
              <w:t>62,3</w:t>
            </w:r>
          </w:p>
        </w:tc>
        <w:tc>
          <w:tcPr>
            <w:tcW w:w="1227"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rPr>
                <w:color w:val="000000"/>
              </w:rPr>
            </w:pPr>
            <w:r>
              <w:rPr>
                <w:color w:val="000000"/>
              </w:rPr>
              <w:t>115,5</w:t>
            </w:r>
          </w:p>
        </w:tc>
        <w:tc>
          <w:tcPr>
            <w:tcW w:w="1285"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rPr>
                <w:color w:val="000000"/>
              </w:rPr>
            </w:pPr>
            <w:r>
              <w:rPr>
                <w:color w:val="000000"/>
              </w:rPr>
              <w:t>-48,1</w:t>
            </w:r>
          </w:p>
        </w:tc>
        <w:tc>
          <w:tcPr>
            <w:tcW w:w="1214"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16" w:space="0" w:color="000000" tmln="40, 20, 20, 0, 0"/>
              <w:tl2br w:val="nil" w:sz="0" w:space="0" w:color="000000" tmln="20, 20, 20, 0, 0"/>
              <w:tr2bl w:val="nil" w:sz="0" w:space="0" w:color="000000" tmln="20, 20, 20, 0, 0"/>
            </w:tcBorders>
            <w:tmTcPr id="1781060902" protected="0"/>
          </w:tcPr>
          <w:p>
            <w:pPr>
              <w:rPr>
                <w:color w:val="000000"/>
              </w:rPr>
            </w:pPr>
            <w:r>
              <w:rPr>
                <w:color w:val="000000"/>
              </w:rPr>
              <w:t>90,6</w:t>
            </w:r>
          </w:p>
        </w:tc>
      </w:tr>
      <w:tr>
        <w:trPr>
          <w:tblHeader w:val="0"/>
          <w:cantSplit w:val="0"/>
          <w:trHeight w:val="664" w:hRule="atLeast"/>
        </w:trPr>
        <w:tc>
          <w:tcPr>
            <w:tcW w:w="2995" w:type="dxa"/>
            <w:vAlign w:val="center"/>
            <w:shd w:val="none"/>
            <w:tcMar>
              <w:top w:w="0" w:type="dxa"/>
              <w:left w:w="108" w:type="dxa"/>
              <w:bottom w:w="0" w:type="dxa"/>
              <w:right w:w="108" w:type="dxa"/>
            </w:tcMar>
            <w:tcBorders>
              <w:top w:val="single" w:sz="8" w:space="0" w:color="000000" tmln="20, 20, 20, 0, 0"/>
              <w:left w:val="single" w:sz="16" w:space="0" w:color="000000" tmln="4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widowControl/>
              <w:rPr>
                <w:color w:val="000000"/>
              </w:rPr>
            </w:pPr>
            <w:r>
              <w:rPr>
                <w:color w:val="000000"/>
                <w:sz w:val="24"/>
                <w:szCs w:val="24"/>
              </w:rPr>
              <w:t>Доходы от сдачи в аренду имущ-ва, составляющ. Гос. (муницип-ную) казну (за исключением земельных участков)</w:t>
            </w:r>
            <w:r>
              <w:rPr>
                <w:color w:val="000000"/>
              </w:rPr>
            </w:r>
          </w:p>
        </w:tc>
        <w:tc>
          <w:tcPr>
            <w:tcW w:w="1257"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rPr>
                <w:color w:val="000000"/>
              </w:rPr>
            </w:pPr>
            <w:r>
              <w:rPr>
                <w:color w:val="000000"/>
              </w:rPr>
              <w:t>21723,5</w:t>
            </w:r>
          </w:p>
        </w:tc>
        <w:tc>
          <w:tcPr>
            <w:tcW w:w="1261"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rPr>
                <w:color w:val="000000"/>
              </w:rPr>
            </w:pPr>
            <w:r>
              <w:rPr>
                <w:color w:val="000000"/>
              </w:rPr>
              <w:t>20859,0</w:t>
            </w:r>
          </w:p>
        </w:tc>
        <w:tc>
          <w:tcPr>
            <w:tcW w:w="1405"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rPr>
                <w:color w:val="000000"/>
              </w:rPr>
            </w:pPr>
            <w:r>
              <w:rPr>
                <w:color w:val="000000"/>
              </w:rPr>
              <w:t>21220,0</w:t>
            </w:r>
          </w:p>
        </w:tc>
        <w:tc>
          <w:tcPr>
            <w:tcW w:w="1404"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rPr>
                <w:color w:val="000000"/>
              </w:rPr>
            </w:pPr>
            <w:r>
              <w:rPr>
                <w:color w:val="000000"/>
              </w:rPr>
              <w:t>23172,0</w:t>
            </w:r>
          </w:p>
        </w:tc>
        <w:tc>
          <w:tcPr>
            <w:tcW w:w="1486"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rPr>
                <w:color w:val="000000"/>
              </w:rPr>
            </w:pPr>
            <w:r>
              <w:rPr>
                <w:color w:val="000000"/>
              </w:rPr>
              <w:t>2313,0</w:t>
            </w:r>
          </w:p>
        </w:tc>
        <w:tc>
          <w:tcPr>
            <w:tcW w:w="954"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rPr>
                <w:color w:val="000000"/>
              </w:rPr>
            </w:pPr>
            <w:r>
              <w:rPr>
                <w:color w:val="000000"/>
              </w:rPr>
              <w:t>111,1</w:t>
            </w:r>
          </w:p>
        </w:tc>
        <w:tc>
          <w:tcPr>
            <w:tcW w:w="1398"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rPr>
                <w:color w:val="000000"/>
              </w:rPr>
            </w:pPr>
            <w:r>
              <w:rPr>
                <w:color w:val="000000"/>
              </w:rPr>
              <w:t>1952,0</w:t>
            </w:r>
          </w:p>
        </w:tc>
        <w:tc>
          <w:tcPr>
            <w:tcW w:w="1227"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rPr>
                <w:color w:val="000000"/>
              </w:rPr>
            </w:pPr>
            <w:r>
              <w:rPr>
                <w:color w:val="000000"/>
              </w:rPr>
              <w:t>109,2</w:t>
            </w:r>
          </w:p>
        </w:tc>
        <w:tc>
          <w:tcPr>
            <w:tcW w:w="1285"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rPr>
                <w:color w:val="000000"/>
              </w:rPr>
            </w:pPr>
            <w:r>
              <w:rPr>
                <w:color w:val="000000"/>
              </w:rPr>
              <w:t>1448,5</w:t>
            </w:r>
          </w:p>
        </w:tc>
        <w:tc>
          <w:tcPr>
            <w:tcW w:w="1214"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16" w:space="0" w:color="000000" tmln="40, 20, 20, 0, 0"/>
              <w:tl2br w:val="nil" w:sz="0" w:space="0" w:color="000000" tmln="20, 20, 20, 0, 0"/>
              <w:tr2bl w:val="nil" w:sz="0" w:space="0" w:color="000000" tmln="20, 20, 20, 0, 0"/>
            </w:tcBorders>
            <w:tmTcPr id="1781060902" protected="0"/>
          </w:tcPr>
          <w:p>
            <w:pPr>
              <w:rPr>
                <w:color w:val="000000"/>
              </w:rPr>
            </w:pPr>
            <w:r>
              <w:rPr>
                <w:color w:val="000000"/>
              </w:rPr>
              <w:t>106,7</w:t>
            </w:r>
          </w:p>
        </w:tc>
      </w:tr>
      <w:tr>
        <w:trPr>
          <w:tblHeader w:val="0"/>
          <w:cantSplit w:val="0"/>
          <w:trHeight w:val="518" w:hRule="atLeast"/>
        </w:trPr>
        <w:tc>
          <w:tcPr>
            <w:tcW w:w="2995" w:type="dxa"/>
            <w:vAlign w:val="center"/>
            <w:shd w:val="none"/>
            <w:tcMar>
              <w:top w:w="0" w:type="dxa"/>
              <w:left w:w="108" w:type="dxa"/>
              <w:bottom w:w="0" w:type="dxa"/>
              <w:right w:w="108" w:type="dxa"/>
            </w:tcMar>
            <w:tcBorders>
              <w:top w:val="single" w:sz="8" w:space="0" w:color="000000" tmln="20, 20, 20, 0, 0"/>
              <w:left w:val="single" w:sz="16" w:space="0" w:color="000000" tmln="4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contextualSpacing/>
              <w:widowControl/>
              <w:rPr>
                <w:color w:val="000000"/>
              </w:rPr>
            </w:pPr>
            <w:r>
              <w:rPr>
                <w:color w:val="000000"/>
                <w:sz w:val="24"/>
                <w:szCs w:val="24"/>
              </w:rPr>
              <w:t>Платежи от гос. и мун. унитарных предприятий</w:t>
            </w:r>
            <w:r>
              <w:rPr>
                <w:color w:val="000000"/>
              </w:rPr>
            </w:r>
          </w:p>
        </w:tc>
        <w:tc>
          <w:tcPr>
            <w:tcW w:w="1257"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rPr>
                <w:color w:val="000000"/>
              </w:rPr>
            </w:pPr>
            <w:r>
              <w:rPr>
                <w:color w:val="000000"/>
              </w:rPr>
              <w:t>17</w:t>
            </w:r>
          </w:p>
        </w:tc>
        <w:tc>
          <w:tcPr>
            <w:tcW w:w="1261"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rPr>
                <w:color w:val="000000"/>
              </w:rPr>
            </w:pPr>
            <w:r>
              <w:rPr>
                <w:color w:val="000000"/>
              </w:rPr>
              <w:t>0</w:t>
            </w:r>
          </w:p>
        </w:tc>
        <w:tc>
          <w:tcPr>
            <w:tcW w:w="1405"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rPr>
                <w:color w:val="000000"/>
              </w:rPr>
            </w:pPr>
            <w:r>
              <w:rPr>
                <w:color w:val="000000"/>
              </w:rPr>
              <w:t>0</w:t>
            </w:r>
          </w:p>
        </w:tc>
        <w:tc>
          <w:tcPr>
            <w:tcW w:w="1404"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rPr>
                <w:color w:val="000000"/>
              </w:rPr>
            </w:pPr>
            <w:r>
              <w:rPr>
                <w:color w:val="000000"/>
              </w:rPr>
              <w:t>0</w:t>
            </w:r>
          </w:p>
        </w:tc>
        <w:tc>
          <w:tcPr>
            <w:tcW w:w="1486"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rPr>
                <w:color w:val="000000"/>
              </w:rPr>
            </w:pPr>
            <w:r>
              <w:rPr>
                <w:color w:val="000000"/>
              </w:rPr>
              <w:t>0</w:t>
            </w:r>
          </w:p>
        </w:tc>
        <w:tc>
          <w:tcPr>
            <w:tcW w:w="954"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rPr>
                <w:color w:val="000000"/>
              </w:rPr>
            </w:pPr>
            <w:r>
              <w:rPr>
                <w:color w:val="000000"/>
              </w:rPr>
              <w:t>0</w:t>
            </w:r>
          </w:p>
        </w:tc>
        <w:tc>
          <w:tcPr>
            <w:tcW w:w="1398"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rPr>
                <w:color w:val="000000"/>
              </w:rPr>
            </w:pPr>
            <w:r>
              <w:rPr>
                <w:color w:val="000000"/>
              </w:rPr>
              <w:t>0</w:t>
            </w:r>
          </w:p>
        </w:tc>
        <w:tc>
          <w:tcPr>
            <w:tcW w:w="1227"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rPr>
                <w:color w:val="000000"/>
              </w:rPr>
            </w:pPr>
            <w:r>
              <w:rPr>
                <w:color w:val="000000"/>
              </w:rPr>
              <w:t>0</w:t>
            </w:r>
          </w:p>
        </w:tc>
        <w:tc>
          <w:tcPr>
            <w:tcW w:w="1285"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rPr>
                <w:color w:val="000000"/>
              </w:rPr>
            </w:pPr>
            <w:r>
              <w:rPr>
                <w:color w:val="000000"/>
              </w:rPr>
              <w:t>-17</w:t>
            </w:r>
          </w:p>
        </w:tc>
        <w:tc>
          <w:tcPr>
            <w:tcW w:w="1214"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16" w:space="0" w:color="000000" tmln="40, 20, 20, 0, 0"/>
              <w:tl2br w:val="nil" w:sz="0" w:space="0" w:color="000000" tmln="20, 20, 20, 0, 0"/>
              <w:tr2bl w:val="nil" w:sz="0" w:space="0" w:color="000000" tmln="20, 20, 20, 0, 0"/>
            </w:tcBorders>
            <w:tmTcPr id="1781060902" protected="0"/>
          </w:tcPr>
          <w:p>
            <w:pPr>
              <w:rPr>
                <w:color w:val="000000"/>
              </w:rPr>
            </w:pPr>
            <w:r>
              <w:rPr>
                <w:color w:val="000000"/>
              </w:rPr>
              <w:t>0</w:t>
            </w:r>
          </w:p>
        </w:tc>
      </w:tr>
      <w:tr>
        <w:trPr>
          <w:tblHeader w:val="0"/>
          <w:cantSplit w:val="0"/>
          <w:trHeight w:val="212" w:hRule="atLeast"/>
        </w:trPr>
        <w:tc>
          <w:tcPr>
            <w:tcW w:w="2995" w:type="dxa"/>
            <w:vAlign w:val="center"/>
            <w:shd w:val="none"/>
            <w:tcMar>
              <w:top w:w="0" w:type="dxa"/>
              <w:left w:w="108" w:type="dxa"/>
              <w:bottom w:w="0" w:type="dxa"/>
              <w:right w:w="108" w:type="dxa"/>
            </w:tcMar>
            <w:tcBorders>
              <w:top w:val="single" w:sz="8" w:space="0" w:color="000000" tmln="20, 20, 20, 0, 0"/>
              <w:left w:val="single" w:sz="16" w:space="0" w:color="000000" tmln="4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contextualSpacing/>
              <w:widowControl/>
              <w:rPr>
                <w:color w:val="000000"/>
              </w:rPr>
            </w:pPr>
            <w:r>
              <w:rPr>
                <w:color w:val="000000"/>
                <w:sz w:val="24"/>
                <w:szCs w:val="24"/>
              </w:rPr>
              <w:t>Прочие доходы от исп. имущества и прав, наход-ся в гос. и мун. собственности</w:t>
            </w:r>
            <w:r>
              <w:rPr>
                <w:color w:val="000000"/>
              </w:rPr>
            </w:r>
          </w:p>
        </w:tc>
        <w:tc>
          <w:tcPr>
            <w:tcW w:w="1257"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rPr>
                <w:color w:val="000000"/>
              </w:rPr>
            </w:pPr>
            <w:r>
              <w:rPr>
                <w:color w:val="000000"/>
              </w:rPr>
              <w:t>6732,5</w:t>
            </w:r>
          </w:p>
        </w:tc>
        <w:tc>
          <w:tcPr>
            <w:tcW w:w="1261"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rPr>
                <w:color w:val="000000"/>
              </w:rPr>
            </w:pPr>
            <w:r>
              <w:rPr>
                <w:color w:val="000000"/>
              </w:rPr>
              <w:t>5806,0</w:t>
            </w:r>
          </w:p>
        </w:tc>
        <w:tc>
          <w:tcPr>
            <w:tcW w:w="1405"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rPr>
                <w:color w:val="000000"/>
              </w:rPr>
            </w:pPr>
            <w:r>
              <w:rPr>
                <w:color w:val="000000"/>
              </w:rPr>
              <w:t>8255</w:t>
            </w:r>
          </w:p>
        </w:tc>
        <w:tc>
          <w:tcPr>
            <w:tcW w:w="1404"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rPr>
                <w:color w:val="000000"/>
              </w:rPr>
            </w:pPr>
            <w:r>
              <w:rPr>
                <w:color w:val="000000"/>
              </w:rPr>
              <w:t>8416,6</w:t>
            </w:r>
          </w:p>
        </w:tc>
        <w:tc>
          <w:tcPr>
            <w:tcW w:w="1486"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rPr>
                <w:color w:val="000000"/>
              </w:rPr>
            </w:pPr>
            <w:r>
              <w:rPr>
                <w:color w:val="000000"/>
              </w:rPr>
              <w:t>2610,6</w:t>
            </w:r>
          </w:p>
        </w:tc>
        <w:tc>
          <w:tcPr>
            <w:tcW w:w="954"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rPr>
                <w:color w:val="000000"/>
              </w:rPr>
            </w:pPr>
            <w:r>
              <w:rPr>
                <w:color w:val="000000"/>
              </w:rPr>
              <w:t>145</w:t>
            </w:r>
          </w:p>
        </w:tc>
        <w:tc>
          <w:tcPr>
            <w:tcW w:w="1398"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rPr>
                <w:color w:val="000000"/>
              </w:rPr>
            </w:pPr>
            <w:r>
              <w:rPr>
                <w:color w:val="000000"/>
              </w:rPr>
              <w:t>161,6</w:t>
            </w:r>
          </w:p>
        </w:tc>
        <w:tc>
          <w:tcPr>
            <w:tcW w:w="1227"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rPr>
                <w:color w:val="000000"/>
              </w:rPr>
            </w:pPr>
            <w:r>
              <w:rPr>
                <w:color w:val="000000"/>
              </w:rPr>
              <w:t>102</w:t>
            </w:r>
          </w:p>
        </w:tc>
        <w:tc>
          <w:tcPr>
            <w:tcW w:w="1285"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rPr>
                <w:color w:val="000000"/>
              </w:rPr>
            </w:pPr>
            <w:r>
              <w:rPr>
                <w:color w:val="000000"/>
              </w:rPr>
              <w:t>1684,1</w:t>
            </w:r>
          </w:p>
        </w:tc>
        <w:tc>
          <w:tcPr>
            <w:tcW w:w="1214"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16" w:space="0" w:color="000000" tmln="40, 20, 20, 0, 0"/>
              <w:tl2br w:val="nil" w:sz="0" w:space="0" w:color="000000" tmln="20, 20, 20, 0, 0"/>
              <w:tr2bl w:val="nil" w:sz="0" w:space="0" w:color="000000" tmln="20, 20, 20, 0, 0"/>
            </w:tcBorders>
            <w:tmTcPr id="1781060902" protected="0"/>
          </w:tcPr>
          <w:p>
            <w:pPr>
              <w:rPr>
                <w:color w:val="000000"/>
              </w:rPr>
            </w:pPr>
            <w:r>
              <w:rPr>
                <w:color w:val="000000"/>
              </w:rPr>
              <w:t>125</w:t>
            </w:r>
          </w:p>
        </w:tc>
      </w:tr>
      <w:tr>
        <w:trPr>
          <w:tblHeader w:val="0"/>
          <w:cantSplit w:val="0"/>
          <w:trHeight w:val="409" w:hRule="atLeast"/>
        </w:trPr>
        <w:tc>
          <w:tcPr>
            <w:tcW w:w="2995" w:type="dxa"/>
            <w:vAlign w:val="center"/>
            <w:shd w:val="none"/>
            <w:tcMar>
              <w:top w:w="0" w:type="dxa"/>
              <w:left w:w="108" w:type="dxa"/>
              <w:bottom w:w="0" w:type="dxa"/>
              <w:right w:w="108" w:type="dxa"/>
            </w:tcMar>
            <w:tcBorders>
              <w:top w:val="single" w:sz="8" w:space="0" w:color="000000" tmln="20, 20, 20, 0, 0"/>
              <w:left w:val="single" w:sz="16" w:space="0" w:color="000000" tmln="4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contextualSpacing/>
              <w:widowControl/>
              <w:rPr>
                <w:color w:val="000000"/>
              </w:rPr>
            </w:pPr>
            <w:r>
              <w:rPr>
                <w:b/>
                <w:bCs/>
                <w:color w:val="000000"/>
                <w:sz w:val="24"/>
                <w:szCs w:val="24"/>
              </w:rPr>
              <w:t>Платежи при пользовании природными ресурсами</w:t>
            </w:r>
            <w:r>
              <w:rPr>
                <w:color w:val="000000"/>
              </w:rPr>
            </w:r>
          </w:p>
        </w:tc>
        <w:tc>
          <w:tcPr>
            <w:tcW w:w="1257"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rPr>
                <w:b/>
                <w:bCs/>
                <w:color w:val="000000"/>
              </w:rPr>
            </w:pPr>
            <w:r>
              <w:rPr>
                <w:b/>
                <w:bCs/>
                <w:color w:val="000000"/>
              </w:rPr>
              <w:t>3659,6</w:t>
            </w:r>
          </w:p>
        </w:tc>
        <w:tc>
          <w:tcPr>
            <w:tcW w:w="1261"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rPr>
                <w:color w:val="000000"/>
              </w:rPr>
            </w:pPr>
            <w:r>
              <w:rPr>
                <w:color w:val="000000"/>
              </w:rPr>
              <w:t>1867,0</w:t>
            </w:r>
          </w:p>
        </w:tc>
        <w:tc>
          <w:tcPr>
            <w:tcW w:w="1405"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rPr>
                <w:color w:val="000000"/>
              </w:rPr>
            </w:pPr>
            <w:r>
              <w:rPr>
                <w:color w:val="000000"/>
              </w:rPr>
              <w:t>3640,0</w:t>
            </w:r>
          </w:p>
        </w:tc>
        <w:tc>
          <w:tcPr>
            <w:tcW w:w="1404"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rPr>
                <w:color w:val="000000"/>
              </w:rPr>
            </w:pPr>
            <w:r>
              <w:rPr>
                <w:color w:val="000000"/>
              </w:rPr>
              <w:t>3958,8</w:t>
            </w:r>
          </w:p>
        </w:tc>
        <w:tc>
          <w:tcPr>
            <w:tcW w:w="1486"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rPr>
                <w:color w:val="000000"/>
              </w:rPr>
            </w:pPr>
            <w:r>
              <w:rPr>
                <w:color w:val="000000"/>
              </w:rPr>
              <w:t>2091,8</w:t>
            </w:r>
          </w:p>
        </w:tc>
        <w:tc>
          <w:tcPr>
            <w:tcW w:w="954"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rPr>
                <w:color w:val="000000"/>
              </w:rPr>
            </w:pPr>
            <w:r>
              <w:rPr>
                <w:color w:val="000000"/>
              </w:rPr>
              <w:t>212,0</w:t>
            </w:r>
          </w:p>
        </w:tc>
        <w:tc>
          <w:tcPr>
            <w:tcW w:w="1398"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rPr>
                <w:color w:val="000000"/>
              </w:rPr>
            </w:pPr>
            <w:r>
              <w:rPr>
                <w:color w:val="000000"/>
              </w:rPr>
              <w:t>318,8</w:t>
            </w:r>
          </w:p>
        </w:tc>
        <w:tc>
          <w:tcPr>
            <w:tcW w:w="1227"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rPr>
                <w:color w:val="000000"/>
              </w:rPr>
            </w:pPr>
            <w:r>
              <w:rPr>
                <w:color w:val="000000"/>
              </w:rPr>
              <w:t>108,8</w:t>
            </w:r>
          </w:p>
        </w:tc>
        <w:tc>
          <w:tcPr>
            <w:tcW w:w="1285"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rPr>
                <w:color w:val="000000"/>
              </w:rPr>
            </w:pPr>
            <w:r>
              <w:rPr>
                <w:color w:val="000000"/>
              </w:rPr>
              <w:t>299,2</w:t>
            </w:r>
          </w:p>
        </w:tc>
        <w:tc>
          <w:tcPr>
            <w:tcW w:w="1214"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16" w:space="0" w:color="000000" tmln="40, 20, 20, 0, 0"/>
              <w:tl2br w:val="nil" w:sz="0" w:space="0" w:color="000000" tmln="20, 20, 20, 0, 0"/>
              <w:tr2bl w:val="nil" w:sz="0" w:space="0" w:color="000000" tmln="20, 20, 20, 0, 0"/>
            </w:tcBorders>
            <w:tmTcPr id="1781060902" protected="0"/>
          </w:tcPr>
          <w:p>
            <w:pPr>
              <w:rPr>
                <w:color w:val="000000"/>
              </w:rPr>
            </w:pPr>
            <w:r>
              <w:rPr>
                <w:color w:val="000000"/>
              </w:rPr>
              <w:t>108,2</w:t>
            </w:r>
          </w:p>
        </w:tc>
      </w:tr>
      <w:tr>
        <w:trPr>
          <w:tblHeader w:val="0"/>
          <w:cantSplit w:val="0"/>
          <w:trHeight w:val="409"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contextualSpacing/>
              <w:widowControl/>
              <w:rPr>
                <w:color w:val="000000"/>
              </w:rPr>
            </w:pPr>
            <w:r>
              <w:rPr>
                <w:color w:val="000000"/>
                <w:sz w:val="24"/>
                <w:szCs w:val="24"/>
              </w:rPr>
              <w:t>Плата за негативное воздействие на окружающую среду</w:t>
            </w:r>
            <w:r>
              <w:rPr>
                <w:color w:val="000000"/>
              </w:rPr>
            </w:r>
          </w:p>
        </w:tc>
        <w:tc>
          <w:tcPr>
            <w:tcW w:w="1257"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rPr>
                <w:color w:val="000000"/>
              </w:rPr>
            </w:pPr>
            <w:r>
              <w:rPr>
                <w:color w:val="000000"/>
              </w:rPr>
              <w:t>3659,6</w:t>
            </w:r>
          </w:p>
        </w:tc>
        <w:tc>
          <w:tcPr>
            <w:tcW w:w="1261"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rPr>
                <w:color w:val="000000"/>
              </w:rPr>
            </w:pPr>
            <w:r>
              <w:rPr>
                <w:color w:val="000000"/>
              </w:rPr>
              <w:t>1867,0</w:t>
            </w:r>
          </w:p>
        </w:tc>
        <w:tc>
          <w:tcPr>
            <w:tcW w:w="1405"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rPr>
                <w:color w:val="000000"/>
              </w:rPr>
            </w:pPr>
            <w:r>
              <w:rPr>
                <w:color w:val="000000"/>
              </w:rPr>
              <w:t>2549,0</w:t>
            </w:r>
          </w:p>
        </w:tc>
        <w:tc>
          <w:tcPr>
            <w:tcW w:w="1404"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rPr>
                <w:color w:val="000000"/>
              </w:rPr>
            </w:pPr>
            <w:r>
              <w:rPr>
                <w:color w:val="000000"/>
              </w:rPr>
              <w:t>3958,8</w:t>
            </w:r>
          </w:p>
        </w:tc>
        <w:tc>
          <w:tcPr>
            <w:tcW w:w="1486"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rPr>
                <w:color w:val="000000"/>
              </w:rPr>
            </w:pPr>
            <w:r>
              <w:rPr>
                <w:color w:val="000000"/>
              </w:rPr>
              <w:t>2091,8</w:t>
            </w:r>
          </w:p>
        </w:tc>
        <w:tc>
          <w:tcPr>
            <w:tcW w:w="954"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rPr>
                <w:color w:val="000000"/>
              </w:rPr>
            </w:pPr>
            <w:r>
              <w:rPr>
                <w:color w:val="000000"/>
              </w:rPr>
              <w:t>212</w:t>
            </w:r>
          </w:p>
        </w:tc>
        <w:tc>
          <w:tcPr>
            <w:tcW w:w="1398"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rPr>
                <w:color w:val="000000"/>
              </w:rPr>
            </w:pPr>
            <w:r>
              <w:rPr>
                <w:color w:val="000000"/>
              </w:rPr>
              <w:t>1409,8</w:t>
            </w:r>
          </w:p>
        </w:tc>
        <w:tc>
          <w:tcPr>
            <w:tcW w:w="1227"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rPr>
                <w:color w:val="000000"/>
              </w:rPr>
            </w:pPr>
            <w:r>
              <w:rPr>
                <w:color w:val="000000"/>
              </w:rPr>
              <w:t>155,3</w:t>
            </w:r>
          </w:p>
        </w:tc>
        <w:tc>
          <w:tcPr>
            <w:tcW w:w="1285"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1060902" protected="0"/>
          </w:tcPr>
          <w:p>
            <w:pPr>
              <w:rPr>
                <w:color w:val="000000"/>
              </w:rPr>
            </w:pPr>
            <w:r>
              <w:rPr>
                <w:color w:val="000000"/>
              </w:rPr>
              <w:t>299,2</w:t>
            </w:r>
          </w:p>
        </w:tc>
        <w:tc>
          <w:tcPr>
            <w:tcW w:w="1214"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16" w:space="0" w:color="000000" tmln="40, 20, 20, 0, 0"/>
              <w:tl2br w:val="nil" w:sz="0" w:space="0" w:color="000000" tmln="20, 20, 20, 0, 0"/>
              <w:tr2bl w:val="nil" w:sz="0" w:space="0" w:color="000000" tmln="20, 20, 20, 0, 0"/>
            </w:tcBorders>
            <w:tmTcPr id="1781060902" protected="0"/>
          </w:tcPr>
          <w:p>
            <w:pPr>
              <w:rPr>
                <w:color w:val="000000"/>
              </w:rPr>
            </w:pPr>
            <w:r>
              <w:rPr>
                <w:color w:val="000000"/>
              </w:rPr>
              <w:t>108,2</w:t>
            </w:r>
          </w:p>
        </w:tc>
      </w:tr>
      <w:tr>
        <w:trPr>
          <w:tblHeader w:val="0"/>
          <w:cantSplit w:val="0"/>
          <w:trHeight w:val="630"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contextualSpacing/>
              <w:widowControl/>
              <w:rPr>
                <w:color w:val="000000"/>
              </w:rPr>
            </w:pPr>
            <w:r>
              <w:rPr>
                <w:b/>
                <w:bCs/>
                <w:color w:val="000000"/>
                <w:sz w:val="24"/>
                <w:szCs w:val="24"/>
              </w:rPr>
              <w:t>Доходы от оказания платных услуг и компенсация затрат государства</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9243,2</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7266,0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8295,5</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8977,4</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1711,4</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123,6</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681,9</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108,2</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1060902" protected="0"/>
          </w:tcPr>
          <w:p>
            <w:pPr>
              <w:rPr>
                <w:color w:val="000000"/>
              </w:rPr>
            </w:pPr>
            <w:r>
              <w:rPr>
                <w:color w:val="000000"/>
              </w:rPr>
              <w:t>-265,8</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1060902" protected="0"/>
          </w:tcPr>
          <w:p>
            <w:pPr>
              <w:rPr>
                <w:color w:val="000000"/>
              </w:rPr>
            </w:pPr>
            <w:r>
              <w:rPr>
                <w:color w:val="000000"/>
              </w:rPr>
              <w:t>97,1</w:t>
            </w:r>
          </w:p>
        </w:tc>
      </w:tr>
      <w:tr>
        <w:trPr>
          <w:tblHeader w:val="0"/>
          <w:cantSplit w:val="0"/>
          <w:trHeight w:val="690"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contextualSpacing/>
              <w:widowControl/>
              <w:rPr>
                <w:color w:val="000000"/>
              </w:rPr>
            </w:pPr>
            <w:r>
              <w:rPr>
                <w:b/>
                <w:bCs/>
                <w:color w:val="000000"/>
                <w:sz w:val="24"/>
                <w:szCs w:val="24"/>
              </w:rPr>
              <w:t>Доходы от продажи материальных и нематериальных активов</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10678,7</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3979,0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5993,0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6079,9</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2100,9</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152,8</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86,9</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101,5</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1060902" protected="0"/>
          </w:tcPr>
          <w:p>
            <w:pPr>
              <w:rPr>
                <w:color w:val="000000"/>
              </w:rPr>
            </w:pPr>
            <w:r>
              <w:rPr>
                <w:color w:val="000000"/>
              </w:rPr>
              <w:t>-4598,8</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1060902" protected="0"/>
          </w:tcPr>
          <w:p>
            <w:pPr>
              <w:rPr>
                <w:color w:val="000000"/>
              </w:rPr>
            </w:pPr>
            <w:r>
              <w:rPr>
                <w:color w:val="000000"/>
              </w:rPr>
              <w:t>56,9</w:t>
            </w:r>
          </w:p>
        </w:tc>
      </w:tr>
      <w:tr>
        <w:trPr>
          <w:tblHeader w:val="0"/>
          <w:cantSplit w:val="0"/>
          <w:trHeight w:val="237"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contextualSpacing/>
              <w:widowControl/>
              <w:rPr>
                <w:color w:val="000000"/>
              </w:rPr>
            </w:pPr>
            <w:r>
              <w:rPr>
                <w:color w:val="000000"/>
                <w:sz w:val="24"/>
                <w:szCs w:val="24"/>
              </w:rPr>
              <w:t>Доходы от продажи квартир</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816,1</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140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640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589</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449</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420,7</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-51,0</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92,0</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1060902" protected="0"/>
          </w:tcPr>
          <w:p>
            <w:pPr>
              <w:rPr>
                <w:color w:val="000000"/>
              </w:rPr>
            </w:pPr>
            <w:r>
              <w:rPr>
                <w:color w:val="000000"/>
              </w:rPr>
              <w:t>-227,1</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1060902" protected="0"/>
          </w:tcPr>
          <w:p>
            <w:pPr>
              <w:rPr>
                <w:color w:val="000000"/>
              </w:rPr>
            </w:pPr>
            <w:r>
              <w:rPr>
                <w:color w:val="000000"/>
              </w:rPr>
              <w:t>72,2</w:t>
            </w:r>
          </w:p>
        </w:tc>
      </w:tr>
      <w:tr>
        <w:trPr>
          <w:tblHeader w:val="0"/>
          <w:cantSplit w:val="0"/>
          <w:trHeight w:val="645"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contextualSpacing/>
              <w:widowControl/>
              <w:rPr>
                <w:color w:val="000000"/>
              </w:rPr>
            </w:pPr>
            <w:r>
              <w:rPr>
                <w:color w:val="000000"/>
                <w:sz w:val="24"/>
                <w:szCs w:val="24"/>
              </w:rPr>
              <w:t>Доходы от реализации имущества, наход-ся в гос. и мун. собственности</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4707,9</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124,0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1135,0</w:t>
            </w:r>
          </w:p>
        </w:tc>
        <w:tc>
          <w:tcPr>
            <w:tcW w:w="1404"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1135,0</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1011,0</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915,3</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0</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100</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1060902" protected="0"/>
          </w:tcPr>
          <w:p>
            <w:pPr>
              <w:rPr>
                <w:color w:val="000000"/>
              </w:rPr>
            </w:pPr>
            <w:r>
              <w:rPr>
                <w:color w:val="000000"/>
              </w:rPr>
              <w:t>-3572,9</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1060902" protected="0"/>
          </w:tcPr>
          <w:p>
            <w:pPr>
              <w:rPr>
                <w:color w:val="000000"/>
              </w:rPr>
            </w:pPr>
            <w:r>
              <w:rPr>
                <w:color w:val="000000"/>
              </w:rPr>
              <w:t>24,1</w:t>
            </w:r>
          </w:p>
        </w:tc>
      </w:tr>
      <w:tr>
        <w:trPr>
          <w:tblHeader w:val="0"/>
          <w:cantSplit w:val="0"/>
          <w:trHeight w:val="600"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contextualSpacing/>
              <w:widowControl/>
              <w:rPr>
                <w:color w:val="000000"/>
              </w:rPr>
            </w:pPr>
            <w:r>
              <w:rPr>
                <w:color w:val="000000"/>
                <w:sz w:val="24"/>
                <w:szCs w:val="24"/>
              </w:rPr>
              <w:t>Доходы от продажи зем. уч-в , наход-ся в гос. и мун. собственности</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5154,7</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3715,0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4225,0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4355,9</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640,9</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117,3</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130,9</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103,1</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1060902" protected="0"/>
          </w:tcPr>
          <w:p>
            <w:pPr>
              <w:rPr>
                <w:color w:val="000000"/>
              </w:rPr>
            </w:pPr>
            <w:r>
              <w:rPr>
                <w:color w:val="000000"/>
              </w:rPr>
              <w:t>-798,8</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1060902" protected="0"/>
          </w:tcPr>
          <w:p>
            <w:pPr>
              <w:rPr>
                <w:color w:val="000000"/>
              </w:rPr>
            </w:pPr>
            <w:r>
              <w:rPr>
                <w:color w:val="000000"/>
              </w:rPr>
              <w:t>84,5</w:t>
            </w:r>
          </w:p>
        </w:tc>
      </w:tr>
      <w:tr>
        <w:trPr>
          <w:tblHeader w:val="0"/>
          <w:cantSplit w:val="0"/>
          <w:trHeight w:val="504"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contextualSpacing/>
              <w:widowControl/>
              <w:rPr>
                <w:color w:val="000000"/>
              </w:rPr>
            </w:pPr>
            <w:r>
              <w:rPr>
                <w:b/>
                <w:bCs/>
                <w:color w:val="000000"/>
                <w:sz w:val="24"/>
                <w:szCs w:val="24"/>
              </w:rPr>
              <w:t>Штрафы, санкции, возмещение ущерба</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4095,2</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1977,0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14033,6</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14709,7</w:t>
            </w:r>
          </w:p>
        </w:tc>
        <w:tc>
          <w:tcPr>
            <w:tcW w:w="1486"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12732,7</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744,0</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676,1</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104,8</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1060902" protected="0"/>
          </w:tcPr>
          <w:p>
            <w:pPr>
              <w:rPr>
                <w:color w:val="000000"/>
              </w:rPr>
            </w:pPr>
            <w:r>
              <w:rPr>
                <w:color w:val="000000"/>
              </w:rPr>
              <w:t>10614,6</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1060902" protected="0"/>
          </w:tcPr>
          <w:p>
            <w:pPr>
              <w:rPr>
                <w:color w:val="000000"/>
              </w:rPr>
            </w:pPr>
            <w:r>
              <w:rPr>
                <w:color w:val="000000"/>
              </w:rPr>
              <w:t>359,2</w:t>
            </w:r>
          </w:p>
        </w:tc>
      </w:tr>
      <w:tr>
        <w:trPr>
          <w:tblHeader w:val="0"/>
          <w:cantSplit w:val="0"/>
          <w:trHeight w:val="271"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contextualSpacing/>
              <w:widowControl/>
              <w:rPr>
                <w:color w:val="000000"/>
              </w:rPr>
            </w:pPr>
            <w:r>
              <w:rPr>
                <w:b/>
                <w:bCs/>
                <w:color w:val="000000"/>
                <w:sz w:val="24"/>
                <w:szCs w:val="24"/>
              </w:rPr>
              <w:t>Прочие неналоговые доходы</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981,7</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91,1</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20,2</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20,2</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0</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-70,9</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22,2</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1060902" protected="0"/>
          </w:tcPr>
          <w:p>
            <w:pPr>
              <w:rPr>
                <w:color w:val="000000"/>
              </w:rPr>
            </w:pPr>
            <w:r>
              <w:rPr>
                <w:color w:val="000000"/>
              </w:rPr>
              <w:t>-961,5</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1060902" protected="0"/>
          </w:tcPr>
          <w:p>
            <w:pPr>
              <w:rPr>
                <w:color w:val="000000"/>
              </w:rPr>
            </w:pPr>
            <w:r>
              <w:rPr>
                <w:color w:val="000000"/>
              </w:rPr>
              <w:t>2,1</w:t>
            </w:r>
          </w:p>
        </w:tc>
      </w:tr>
      <w:tr>
        <w:trPr>
          <w:tblHeader w:val="0"/>
          <w:cantSplit w:val="0"/>
          <w:trHeight w:val="221"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contextualSpacing/>
              <w:widowControl/>
              <w:rPr>
                <w:color w:val="000000"/>
              </w:rPr>
            </w:pPr>
            <w:r>
              <w:rPr>
                <w:color w:val="000000"/>
                <w:sz w:val="24"/>
                <w:szCs w:val="24"/>
              </w:rPr>
              <w:t>Невыясненные поступления</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-2,2</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20,2</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20,2</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0</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20,2</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0</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1060902" protected="0"/>
          </w:tcPr>
          <w:p>
            <w:pPr>
              <w:rPr>
                <w:color w:val="000000"/>
              </w:rPr>
            </w:pPr>
            <w:r>
              <w:rPr>
                <w:color w:val="000000"/>
              </w:rPr>
              <w:t>22,4</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1060902" protected="0"/>
          </w:tcPr>
          <w:p>
            <w:pPr>
              <w:rPr>
                <w:color w:val="000000"/>
              </w:rPr>
            </w:pPr>
            <w:r>
              <w:rPr>
                <w:color w:val="000000"/>
              </w:rPr>
              <w:t>-914,0</w:t>
            </w:r>
          </w:p>
        </w:tc>
      </w:tr>
      <w:tr>
        <w:trPr>
          <w:tblHeader w:val="0"/>
          <w:cantSplit w:val="0"/>
          <w:trHeight w:val="332"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contextualSpacing/>
              <w:widowControl/>
              <w:rPr>
                <w:color w:val="000000"/>
                <w:sz w:val="24"/>
                <w:szCs w:val="24"/>
              </w:rPr>
            </w:pPr>
            <w:r>
              <w:rPr>
                <w:color w:val="000000"/>
                <w:sz w:val="24"/>
                <w:szCs w:val="24"/>
              </w:rPr>
              <w:t>Прочие неналоговые доходы бюджетов городских округов</w:t>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0,2</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0</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0</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0</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0</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0</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1060902" protected="0"/>
          </w:tcPr>
          <w:p>
            <w:pPr>
              <w:rPr>
                <w:color w:val="000000"/>
              </w:rPr>
            </w:pPr>
            <w:r>
              <w:rPr>
                <w:color w:val="000000"/>
              </w:rPr>
              <w:t>-0,2</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1060902" protected="0"/>
          </w:tcPr>
          <w:p>
            <w:pPr>
              <w:rPr>
                <w:color w:val="000000"/>
              </w:rPr>
            </w:pPr>
            <w:r>
              <w:rPr>
                <w:color w:val="000000"/>
              </w:rPr>
              <w:t>0</w:t>
            </w:r>
          </w:p>
        </w:tc>
      </w:tr>
      <w:tr>
        <w:trPr>
          <w:tblHeader w:val="0"/>
          <w:cantSplit w:val="0"/>
          <w:trHeight w:val="1087"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contextualSpacing/>
              <w:widowControl/>
              <w:rPr>
                <w:color w:val="000000"/>
              </w:rPr>
            </w:pPr>
            <w:r>
              <w:rPr>
                <w:color w:val="000000"/>
                <w:sz w:val="24"/>
                <w:szCs w:val="24"/>
              </w:rPr>
              <w:t xml:space="preserve">Инициативные платежи (на реализацию проектов инициативного бюджетирования «Твой Кузбасс - твоя инициатива» </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983,7</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91,1</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0</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0</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0</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-91,1</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0</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1060902" protected="0"/>
          </w:tcPr>
          <w:p>
            <w:pPr>
              <w:rPr>
                <w:color w:val="000000"/>
              </w:rPr>
            </w:pPr>
            <w:r>
              <w:rPr>
                <w:color w:val="000000"/>
              </w:rPr>
              <w:t>-983,7</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1060902" protected="0"/>
          </w:tcPr>
          <w:p>
            <w:pPr>
              <w:rPr>
                <w:color w:val="000000"/>
              </w:rPr>
            </w:pPr>
            <w:r>
              <w:rPr>
                <w:color w:val="000000"/>
              </w:rPr>
              <w:t>0</w:t>
            </w:r>
          </w:p>
        </w:tc>
      </w:tr>
      <w:tr>
        <w:trPr>
          <w:tblHeader w:val="0"/>
          <w:cantSplit w:val="0"/>
          <w:trHeight w:val="390" w:hRule="atLeast"/>
        </w:trPr>
        <w:tc>
          <w:tcPr>
            <w:tcW w:w="2995" w:type="dxa"/>
            <w:vAlign w:val="center"/>
            <w:shd w:val="solid" w:color="FFFFFF" tmshd="6553856, 16777215, 16777215"/>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contextualSpacing/>
              <w:widowControl/>
              <w:rPr>
                <w:color w:val="000000"/>
              </w:rPr>
            </w:pPr>
            <w:r>
              <w:rPr>
                <w:b/>
                <w:bCs/>
                <w:color w:val="000000"/>
                <w:sz w:val="24"/>
                <w:szCs w:val="24"/>
              </w:rPr>
              <w:t>ВСЕГО Безвозмездные поступления</w:t>
            </w:r>
            <w:r>
              <w:rPr>
                <w:color w:val="000000"/>
              </w:rPr>
            </w:r>
          </w:p>
        </w:tc>
        <w:tc>
          <w:tcPr>
            <w:tcW w:w="125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3780070,5</w:t>
            </w:r>
          </w:p>
        </w:tc>
        <w:tc>
          <w:tcPr>
            <w:tcW w:w="1261"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2760497,3</w:t>
            </w:r>
          </w:p>
        </w:tc>
        <w:tc>
          <w:tcPr>
            <w:tcW w:w="1405"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3109551,3</w:t>
            </w:r>
          </w:p>
        </w:tc>
        <w:tc>
          <w:tcPr>
            <w:tcW w:w="1404"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3073358,9</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312861,6</w:t>
            </w:r>
          </w:p>
        </w:tc>
        <w:tc>
          <w:tcPr>
            <w:tcW w:w="954"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111,3</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-6192,4</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98,8</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1060902" protected="0"/>
          </w:tcPr>
          <w:p>
            <w:pPr>
              <w:rPr>
                <w:color w:val="000000"/>
              </w:rPr>
            </w:pPr>
            <w:r>
              <w:rPr>
                <w:color w:val="000000"/>
              </w:rPr>
              <w:t>-706711,6</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1060902" protected="0"/>
          </w:tcPr>
          <w:p>
            <w:pPr>
              <w:rPr>
                <w:color w:val="000000"/>
              </w:rPr>
            </w:pPr>
            <w:r>
              <w:rPr>
                <w:color w:val="000000"/>
              </w:rPr>
              <w:t>81,3</w:t>
            </w:r>
          </w:p>
        </w:tc>
      </w:tr>
      <w:tr>
        <w:trPr>
          <w:tblHeader w:val="0"/>
          <w:cantSplit w:val="0"/>
          <w:trHeight w:val="931"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contextualSpacing/>
              <w:widowControl/>
              <w:rPr>
                <w:color w:val="000000"/>
              </w:rPr>
            </w:pPr>
            <w:r>
              <w:rPr>
                <w:b/>
                <w:bCs/>
                <w:color w:val="000000"/>
                <w:sz w:val="24"/>
                <w:szCs w:val="24"/>
              </w:rPr>
              <w:t>Безвозмездн. поступления от бюджетов бюджетной системы РФ, кроме бюджетов гос. внебюдж. фондов др. уровней</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4008622,2</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2760497,3</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3096292,3</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3073551,3</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313054,0</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111,3</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-22741,0</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99,3</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1060902" protected="0"/>
          </w:tcPr>
          <w:p>
            <w:pPr>
              <w:rPr>
                <w:b/>
                <w:bCs/>
                <w:color w:val="000000"/>
              </w:rPr>
            </w:pPr>
            <w:r>
              <w:rPr>
                <w:b/>
                <w:bCs/>
                <w:color w:val="000000"/>
              </w:rPr>
              <w:t>-935070,9</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1060902" protected="0"/>
          </w:tcPr>
          <w:p>
            <w:pPr>
              <w:rPr>
                <w:b/>
                <w:bCs/>
                <w:color w:val="000000"/>
              </w:rPr>
            </w:pPr>
            <w:r>
              <w:rPr>
                <w:b/>
                <w:bCs/>
                <w:color w:val="000000"/>
              </w:rPr>
              <w:t>76,7</w:t>
            </w:r>
          </w:p>
        </w:tc>
      </w:tr>
      <w:tr>
        <w:trPr>
          <w:tblHeader w:val="0"/>
          <w:cantSplit w:val="0"/>
          <w:trHeight w:val="414"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contextualSpacing/>
              <w:widowControl/>
              <w:rPr>
                <w:color w:val="000000"/>
              </w:rPr>
            </w:pPr>
            <w:r>
              <w:rPr>
                <w:b/>
                <w:bCs/>
                <w:color w:val="000000"/>
                <w:sz w:val="24"/>
                <w:szCs w:val="24"/>
              </w:rPr>
              <w:t>Дотации от др. бюджетов бюджетной системы РФ</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1129093,6</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412610,0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423514,8</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423514,8</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10904,8</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102,6</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0</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100</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1060902" protected="0"/>
          </w:tcPr>
          <w:p>
            <w:pPr>
              <w:rPr>
                <w:b/>
                <w:bCs/>
                <w:color w:val="000000"/>
              </w:rPr>
            </w:pPr>
            <w:r>
              <w:rPr>
                <w:b/>
                <w:bCs/>
                <w:color w:val="000000"/>
              </w:rPr>
              <w:t>-705578,8</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1060902" protected="0"/>
          </w:tcPr>
          <w:p>
            <w:pPr>
              <w:rPr>
                <w:b/>
                <w:bCs/>
                <w:color w:val="000000"/>
              </w:rPr>
            </w:pPr>
            <w:r>
              <w:rPr>
                <w:b/>
                <w:bCs/>
                <w:color w:val="000000"/>
              </w:rPr>
              <w:t>37,5</w:t>
            </w:r>
          </w:p>
        </w:tc>
      </w:tr>
      <w:tr>
        <w:trPr>
          <w:tblHeader w:val="0"/>
          <w:cantSplit w:val="0"/>
          <w:trHeight w:val="391"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contextualSpacing/>
              <w:widowControl/>
              <w:rPr>
                <w:color w:val="000000"/>
              </w:rPr>
            </w:pPr>
            <w:r>
              <w:rPr>
                <w:b/>
                <w:bCs/>
                <w:color w:val="000000"/>
                <w:sz w:val="24"/>
                <w:szCs w:val="24"/>
              </w:rPr>
              <w:t>Субсидии от др. бюджетов бюджетной системы РФ</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688207,2</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395258,6</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453114,4</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447849,1</w:t>
            </w:r>
          </w:p>
        </w:tc>
        <w:tc>
          <w:tcPr>
            <w:tcW w:w="1486"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52590,5</w:t>
            </w:r>
          </w:p>
        </w:tc>
        <w:tc>
          <w:tcPr>
            <w:tcW w:w="954"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113,3</w:t>
            </w:r>
          </w:p>
        </w:tc>
        <w:tc>
          <w:tcPr>
            <w:tcW w:w="1398"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-5265,3</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98,8</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1060902" protected="0"/>
          </w:tcPr>
          <w:p>
            <w:pPr>
              <w:rPr>
                <w:b/>
                <w:bCs/>
                <w:color w:val="000000"/>
              </w:rPr>
            </w:pPr>
            <w:r>
              <w:rPr>
                <w:b/>
                <w:bCs/>
                <w:color w:val="000000"/>
              </w:rPr>
              <w:t>-240358,1</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1060902" protected="0"/>
          </w:tcPr>
          <w:p>
            <w:pPr>
              <w:rPr>
                <w:b/>
                <w:bCs/>
                <w:color w:val="000000"/>
              </w:rPr>
            </w:pPr>
            <w:r>
              <w:rPr>
                <w:b/>
                <w:bCs/>
                <w:color w:val="000000"/>
              </w:rPr>
              <w:t>65,1</w:t>
            </w:r>
          </w:p>
        </w:tc>
      </w:tr>
      <w:tr>
        <w:trPr>
          <w:tblHeader w:val="0"/>
          <w:cantSplit w:val="0"/>
          <w:trHeight w:val="343"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contextualSpacing/>
              <w:widowControl/>
              <w:rPr>
                <w:color w:val="000000"/>
              </w:rPr>
            </w:pPr>
            <w:r>
              <w:rPr>
                <w:b/>
                <w:bCs/>
                <w:color w:val="000000"/>
                <w:sz w:val="24"/>
                <w:szCs w:val="24"/>
              </w:rPr>
              <w:t>Субвенции от др. бюджетов бюджетной системы РФ</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2116872,7</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1867220,1</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2133554,5</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2121620,6</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254400,5</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113,6</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-11933,9</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99,4</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1060902" protected="0"/>
          </w:tcPr>
          <w:p>
            <w:pPr>
              <w:rPr>
                <w:b/>
                <w:bCs/>
                <w:color w:val="000000"/>
              </w:rPr>
            </w:pPr>
            <w:r>
              <w:rPr>
                <w:b/>
                <w:bCs/>
                <w:color w:val="000000"/>
              </w:rPr>
              <w:t>4747,9</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1060902" protected="0"/>
          </w:tcPr>
          <w:p>
            <w:pPr>
              <w:rPr>
                <w:b/>
                <w:bCs/>
                <w:color w:val="000000"/>
              </w:rPr>
            </w:pPr>
            <w:r>
              <w:rPr>
                <w:b/>
                <w:bCs/>
                <w:color w:val="000000"/>
              </w:rPr>
              <w:t>100,2</w:t>
            </w:r>
          </w:p>
        </w:tc>
      </w:tr>
      <w:tr>
        <w:trPr>
          <w:tblHeader w:val="0"/>
          <w:cantSplit w:val="0"/>
          <w:trHeight w:val="435"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contextualSpacing/>
              <w:widowControl/>
              <w:rPr>
                <w:color w:val="000000"/>
              </w:rPr>
            </w:pPr>
            <w:r>
              <w:rPr>
                <w:b/>
                <w:bCs/>
                <w:color w:val="000000"/>
                <w:sz w:val="24"/>
                <w:szCs w:val="24"/>
              </w:rPr>
              <w:t>Иные межбюджетные трансферты</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74448,7</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85408,6</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86108,6</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80566,8</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-4841,8</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94,3</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-5541,8</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93,6</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1060902" protected="0"/>
          </w:tcPr>
          <w:p>
            <w:pPr>
              <w:rPr>
                <w:b/>
                <w:bCs/>
                <w:color w:val="000000"/>
              </w:rPr>
            </w:pPr>
            <w:r>
              <w:rPr>
                <w:b/>
                <w:bCs/>
                <w:color w:val="000000"/>
              </w:rPr>
              <w:t>6118,1</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1060902" protected="0"/>
          </w:tcPr>
          <w:p>
            <w:pPr>
              <w:rPr>
                <w:b/>
                <w:bCs/>
                <w:color w:val="000000"/>
              </w:rPr>
            </w:pPr>
            <w:r>
              <w:rPr>
                <w:b/>
                <w:bCs/>
                <w:color w:val="000000"/>
              </w:rPr>
              <w:t>108,2</w:t>
            </w:r>
          </w:p>
        </w:tc>
      </w:tr>
      <w:tr>
        <w:trPr>
          <w:tblHeader w:val="0"/>
          <w:cantSplit w:val="0"/>
          <w:trHeight w:val="435"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contextualSpacing/>
              <w:widowControl/>
              <w:rPr>
                <w:b/>
                <w:bCs/>
                <w:color w:val="000000"/>
                <w:sz w:val="24"/>
                <w:szCs w:val="24"/>
              </w:rPr>
            </w:pPr>
            <w:r>
              <w:rPr>
                <w:b/>
                <w:bCs/>
                <w:color w:val="000000"/>
                <w:sz w:val="24"/>
                <w:szCs w:val="24"/>
              </w:rPr>
              <w:t>Безвозмездные поступления от гос. организаций в бюджеты городских округов</w:t>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0</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15</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84,4</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84,4</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0</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69,4</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562,7</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1060902" protected="0"/>
          </w:tcPr>
          <w:p>
            <w:pPr>
              <w:rPr>
                <w:b/>
                <w:bCs/>
                <w:color w:val="000000"/>
              </w:rPr>
            </w:pPr>
            <w:r>
              <w:rPr>
                <w:b/>
                <w:bCs/>
                <w:color w:val="000000"/>
              </w:rPr>
              <w:t>84,4</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1060902" protected="0"/>
          </w:tcPr>
          <w:p>
            <w:pPr>
              <w:rPr>
                <w:color w:val="000000"/>
              </w:rPr>
            </w:pPr>
            <w:r>
              <w:rPr>
                <w:color w:val="000000"/>
              </w:rPr>
              <w:t>0</w:t>
            </w:r>
          </w:p>
        </w:tc>
      </w:tr>
      <w:tr>
        <w:trPr>
          <w:tblHeader w:val="0"/>
          <w:cantSplit w:val="0"/>
          <w:trHeight w:val="538"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contextualSpacing/>
              <w:widowControl/>
              <w:rPr>
                <w:color w:val="000000"/>
              </w:rPr>
            </w:pPr>
            <w:r>
              <w:rPr>
                <w:b/>
                <w:bCs/>
                <w:color w:val="000000"/>
                <w:sz w:val="24"/>
                <w:szCs w:val="24"/>
              </w:rPr>
              <w:t>Безвозмездные поступления от негос. организаций в бюджеты городских округов</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2038,1</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0</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0</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0</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0</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0</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1060902" protected="0"/>
          </w:tcPr>
          <w:p>
            <w:pPr>
              <w:rPr>
                <w:b/>
                <w:bCs/>
                <w:color w:val="000000"/>
              </w:rPr>
            </w:pPr>
            <w:r>
              <w:rPr>
                <w:b/>
                <w:bCs/>
                <w:color w:val="000000"/>
              </w:rPr>
              <w:t>-2038,1</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1060902" protected="0"/>
          </w:tcPr>
          <w:p>
            <w:pPr>
              <w:rPr>
                <w:b/>
                <w:bCs/>
                <w:color w:val="000000"/>
              </w:rPr>
            </w:pPr>
            <w:r>
              <w:rPr>
                <w:b/>
                <w:bCs/>
                <w:color w:val="000000"/>
              </w:rPr>
              <w:t>0</w:t>
            </w:r>
          </w:p>
        </w:tc>
      </w:tr>
      <w:tr>
        <w:trPr>
          <w:tblHeader w:val="0"/>
          <w:cantSplit w:val="0"/>
          <w:trHeight w:val="615"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contextualSpacing/>
              <w:widowControl/>
              <w:rPr>
                <w:color w:val="000000"/>
              </w:rPr>
            </w:pPr>
            <w:r>
              <w:rPr>
                <w:b/>
                <w:bCs/>
                <w:color w:val="000000"/>
                <w:sz w:val="24"/>
                <w:szCs w:val="24"/>
              </w:rPr>
              <w:t>Прочие безвозмездные поступления в бюджеты городских округов</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22368,9</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13244</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13249</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13249</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0</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5</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100</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1060902" protected="0"/>
          </w:tcPr>
          <w:p>
            <w:pPr>
              <w:rPr>
                <w:b/>
                <w:bCs/>
                <w:color w:val="000000"/>
              </w:rPr>
            </w:pPr>
            <w:r>
              <w:rPr>
                <w:b/>
                <w:bCs/>
                <w:color w:val="000000"/>
              </w:rPr>
              <w:t>-9119,9</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1060902" protected="0"/>
          </w:tcPr>
          <w:p>
            <w:pPr>
              <w:rPr>
                <w:b/>
                <w:bCs/>
                <w:color w:val="000000"/>
              </w:rPr>
            </w:pPr>
            <w:r>
              <w:rPr>
                <w:b/>
                <w:bCs/>
                <w:color w:val="000000"/>
              </w:rPr>
              <w:t>59,2</w:t>
            </w:r>
          </w:p>
        </w:tc>
      </w:tr>
      <w:tr>
        <w:trPr>
          <w:tblHeader w:val="0"/>
          <w:cantSplit w:val="0"/>
          <w:trHeight w:val="615"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contextualSpacing/>
              <w:widowControl/>
              <w:rPr>
                <w:color w:val="000000"/>
              </w:rPr>
            </w:pPr>
            <w:r>
              <w:rPr>
                <w:b/>
                <w:bCs/>
                <w:color w:val="000000"/>
                <w:sz w:val="24"/>
                <w:szCs w:val="24"/>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0</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0</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0</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0</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0</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0</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1060902" protected="0"/>
          </w:tcPr>
          <w:p>
            <w:pPr>
              <w:rPr>
                <w:b/>
                <w:bCs/>
                <w:color w:val="000000"/>
              </w:rPr>
            </w:pPr>
            <w:r>
              <w:rPr>
                <w:b/>
                <w:bCs/>
                <w:color w:val="000000"/>
              </w:rPr>
              <w:t>0</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1060902" protected="0"/>
          </w:tcPr>
          <w:p>
            <w:pPr>
              <w:rPr>
                <w:color w:val="000000"/>
              </w:rPr>
            </w:pPr>
            <w:r>
              <w:rPr>
                <w:color w:val="000000"/>
              </w:rPr>
              <w:t>0</w:t>
            </w:r>
          </w:p>
        </w:tc>
      </w:tr>
      <w:tr>
        <w:trPr>
          <w:tblHeader w:val="0"/>
          <w:cantSplit w:val="0"/>
          <w:trHeight w:val="518" w:hRule="atLeast"/>
        </w:trPr>
        <w:tc>
          <w:tcPr>
            <w:tcW w:w="2995" w:type="dxa"/>
            <w:vAlign w:val="bottom"/>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widowControl/>
              <w:rPr>
                <w:color w:val="000000"/>
              </w:rPr>
            </w:pPr>
            <w:r>
              <w:rPr>
                <w:b/>
                <w:bCs/>
                <w:color w:val="000000"/>
                <w:sz w:val="24"/>
                <w:szCs w:val="24"/>
              </w:rPr>
              <w:t>Доходы от возврата субсидий, субвенций из бюджетов городских округов</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5635,9</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799,7</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799,7</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0</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799,7</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0</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1060902" protected="0"/>
          </w:tcPr>
          <w:p>
            <w:pPr>
              <w:rPr>
                <w:b/>
                <w:bCs/>
                <w:color w:val="000000"/>
              </w:rPr>
            </w:pPr>
            <w:r>
              <w:rPr>
                <w:b/>
                <w:bCs/>
                <w:color w:val="000000"/>
              </w:rPr>
              <w:t>-4836,2</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1060902" protected="0"/>
          </w:tcPr>
          <w:p>
            <w:pPr>
              <w:rPr>
                <w:b/>
                <w:bCs/>
                <w:color w:val="000000"/>
              </w:rPr>
            </w:pPr>
            <w:r>
              <w:rPr>
                <w:b/>
                <w:bCs/>
                <w:color w:val="000000"/>
              </w:rPr>
              <w:t>14,2</w:t>
            </w:r>
          </w:p>
        </w:tc>
      </w:tr>
      <w:tr>
        <w:trPr>
          <w:tblHeader w:val="0"/>
          <w:cantSplit w:val="0"/>
          <w:trHeight w:val="645" w:hRule="atLeast"/>
        </w:trPr>
        <w:tc>
          <w:tcPr>
            <w:tcW w:w="2995" w:type="dxa"/>
            <w:vAlign w:val="bottom"/>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b/>
                <w:bCs/>
                <w:color w:val="000000"/>
                <w:sz w:val="24"/>
                <w:szCs w:val="24"/>
              </w:rPr>
              <w:t>Возврат остатков субсидий, субвенций из бюджетов городских округов</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-258594,6</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-14325,5</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-14325,5</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0</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-14325,5</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0</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1060902" protected="0"/>
          </w:tcPr>
          <w:p>
            <w:pPr>
              <w:rPr>
                <w:b/>
                <w:bCs/>
                <w:color w:val="000000"/>
              </w:rPr>
            </w:pPr>
            <w:r>
              <w:rPr>
                <w:b/>
                <w:bCs/>
                <w:color w:val="000000"/>
              </w:rPr>
              <w:t>244269,1</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1060902" protected="0"/>
          </w:tcPr>
          <w:p>
            <w:pPr>
              <w:rPr>
                <w:b/>
                <w:bCs/>
                <w:color w:val="000000"/>
              </w:rPr>
            </w:pPr>
            <w:r>
              <w:rPr>
                <w:b/>
                <w:bCs/>
                <w:color w:val="000000"/>
              </w:rPr>
              <w:t>5,5</w:t>
            </w:r>
          </w:p>
        </w:tc>
      </w:tr>
      <w:tr>
        <w:trPr>
          <w:tblHeader w:val="0"/>
          <w:cantSplit w:val="0"/>
          <w:trHeight w:val="193"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contextualSpacing/>
              <w:widowControl/>
              <w:rPr>
                <w:color w:val="000000"/>
              </w:rPr>
            </w:pPr>
            <w:r>
              <w:rPr>
                <w:color w:val="000000"/>
                <w:sz w:val="24"/>
                <w:szCs w:val="24"/>
              </w:rPr>
              <w:t>Справочно:</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1060902" protected="0"/>
          </w:tcPr>
          <w:p>
            <w:pPr>
              <w:rPr>
                <w:color w:val="000000"/>
              </w:rPr>
            </w:pPr>
            <w:r>
              <w:rPr>
                <w:color w:val="000000"/>
              </w:rPr>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1060902" protected="0"/>
          </w:tcPr>
          <w:p>
            <w:pPr>
              <w:rPr>
                <w:color w:val="000000"/>
              </w:rPr>
            </w:pPr>
            <w:r>
              <w:rPr>
                <w:color w:val="000000"/>
              </w:rPr>
            </w:r>
          </w:p>
        </w:tc>
      </w:tr>
      <w:tr>
        <w:trPr>
          <w:tblHeader w:val="0"/>
          <w:cantSplit w:val="0"/>
          <w:trHeight w:val="97"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contextualSpacing/>
              <w:widowControl/>
              <w:rPr>
                <w:color w:val="000000"/>
              </w:rPr>
            </w:pPr>
            <w:r>
              <w:rPr>
                <w:b/>
                <w:bCs/>
                <w:color w:val="000000"/>
                <w:sz w:val="24"/>
                <w:szCs w:val="24"/>
              </w:rPr>
              <w:t>Всего расходы</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4753345,9</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3932276,5</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4404099,2</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4283251,5</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350975,0</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108,9</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-120847,7</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97,3</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1060902" protected="0"/>
          </w:tcPr>
          <w:p>
            <w:pPr>
              <w:rPr>
                <w:b/>
                <w:bCs/>
                <w:color w:val="000000"/>
              </w:rPr>
            </w:pPr>
            <w:r>
              <w:rPr>
                <w:b/>
                <w:bCs/>
                <w:color w:val="000000"/>
              </w:rPr>
              <w:t>-470094,4</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1060902" protected="0"/>
          </w:tcPr>
          <w:p>
            <w:pPr>
              <w:rPr>
                <w:b/>
                <w:bCs/>
                <w:color w:val="000000"/>
              </w:rPr>
            </w:pPr>
            <w:r>
              <w:rPr>
                <w:b/>
                <w:bCs/>
                <w:color w:val="000000"/>
              </w:rPr>
              <w:t>90,1</w:t>
            </w:r>
          </w:p>
        </w:tc>
      </w:tr>
      <w:tr>
        <w:trPr>
          <w:tblHeader w:val="0"/>
          <w:cantSplit w:val="0"/>
          <w:trHeight w:val="375"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contextualSpacing/>
              <w:widowControl/>
              <w:rPr>
                <w:color w:val="000000"/>
              </w:rPr>
            </w:pPr>
            <w:r>
              <w:rPr>
                <w:b/>
                <w:bCs/>
                <w:color w:val="000000"/>
                <w:sz w:val="24"/>
                <w:szCs w:val="24"/>
              </w:rPr>
              <w:t>Результат исполнения бюджета (дефицит "-", профицит "+")</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1026098,4</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-58638,2</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-171215,7</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-82248,1</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-23609,9</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140,3</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88967,6</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48</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1060902" protected="0"/>
          </w:tcPr>
          <w:p>
            <w:pPr>
              <w:rPr>
                <w:b/>
                <w:bCs/>
                <w:color w:val="000000"/>
              </w:rPr>
            </w:pPr>
            <w:r>
              <w:rPr>
                <w:b/>
                <w:bCs/>
                <w:color w:val="000000"/>
              </w:rPr>
              <w:t>-1108346,5</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1060902" protected="0"/>
          </w:tcPr>
          <w:p>
            <w:pPr>
              <w:rPr>
                <w:b/>
                <w:bCs/>
                <w:color w:val="000000"/>
              </w:rPr>
            </w:pPr>
            <w:r>
              <w:rPr>
                <w:b/>
                <w:bCs/>
                <w:color w:val="000000"/>
              </w:rPr>
              <w:t>-8</w:t>
            </w:r>
          </w:p>
        </w:tc>
      </w:tr>
      <w:tr>
        <w:trPr>
          <w:tblHeader w:val="0"/>
          <w:cantSplit w:val="0"/>
          <w:trHeight w:val="70" w:hRule="atLeast"/>
        </w:trPr>
        <w:tc>
          <w:tcPr>
            <w:tcW w:w="2995" w:type="dxa"/>
            <w:vAlign w:val="center"/>
            <w:shd w:val="none"/>
            <w:tcMar>
              <w:top w:w="0" w:type="dxa"/>
              <w:left w:w="108" w:type="dxa"/>
              <w:bottom w:w="0" w:type="dxa"/>
              <w:right w:w="108" w:type="dxa"/>
            </w:tcMar>
            <w:tcBorders>
              <w:top w:val="single" w:sz="4" w:space="0" w:color="000000" tmln="10, 20, 20, 0, 0"/>
              <w:left w:val="single" w:sz="16" w:space="0" w:color="000000" tmln="40, 20, 20, 0, 0"/>
              <w:bottom w:val="single" w:sz="16" w:space="0" w:color="000000" tmln="40, 20, 20, 0, 0"/>
              <w:right w:val="single" w:sz="4" w:space="0" w:color="000000" tmln="10, 20, 20, 0, 0"/>
              <w:tl2br w:val="nil" w:sz="0" w:space="0" w:color="000000" tmln="20, 20, 20, 0, 0"/>
              <w:tr2bl w:val="nil" w:sz="0" w:space="0" w:color="000000" tmln="20, 20, 20, 0, 0"/>
            </w:tcBorders>
            <w:tmTcPr id="1781060902" protected="0"/>
          </w:tcPr>
          <w:p>
            <w:pPr>
              <w:contextualSpacing/>
              <w:widowControl/>
              <w:rPr>
                <w:color w:val="000000"/>
              </w:rPr>
            </w:pPr>
            <w:r>
              <w:rPr>
                <w:b/>
                <w:bCs/>
                <w:color w:val="000000"/>
                <w:sz w:val="24"/>
                <w:szCs w:val="24"/>
              </w:rPr>
              <w:t>Собственные средства</w:t>
            </w:r>
            <w:r>
              <w:rPr>
                <w:color w:val="000000"/>
              </w:rPr>
            </w:r>
          </w:p>
        </w:tc>
        <w:tc>
          <w:tcPr>
            <w:tcW w:w="1257" w:type="dxa"/>
            <w:vAlign w:val="bottom"/>
            <w:shd w:val="none"/>
            <w:tcMar>
              <w:top w:w="0" w:type="dxa"/>
              <w:left w:w="108" w:type="dxa"/>
              <w:bottom w:w="0" w:type="dxa"/>
              <w:right w:w="108" w:type="dxa"/>
            </w:tcMar>
            <w:tcBorders>
              <w:top w:val="single" w:sz="4" w:space="0" w:color="000000" tmln="10, 20, 20, 0, 0"/>
              <w:left w:val="nil" w:sz="0" w:space="0" w:color="000000" tmln="20, 20, 20, 0, 0"/>
              <w:bottom w:val="single" w:sz="16" w:space="0" w:color="000000" tmln="4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1026098,4</w:t>
            </w:r>
          </w:p>
        </w:tc>
        <w:tc>
          <w:tcPr>
            <w:tcW w:w="1261" w:type="dxa"/>
            <w:vAlign w:val="bottom"/>
            <w:shd w:val="none"/>
            <w:tcMar>
              <w:top w:w="0" w:type="dxa"/>
              <w:left w:w="108" w:type="dxa"/>
              <w:bottom w:w="0" w:type="dxa"/>
              <w:right w:w="108" w:type="dxa"/>
            </w:tcMar>
            <w:tcBorders>
              <w:top w:val="single" w:sz="4" w:space="0" w:color="000000" tmln="10, 20, 20, 0, 0"/>
              <w:left w:val="nil" w:sz="0" w:space="0" w:color="000000" tmln="20, 20, 20, 0, 0"/>
              <w:bottom w:val="single" w:sz="16" w:space="0" w:color="000000" tmln="4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1113141,0</w:t>
            </w:r>
          </w:p>
        </w:tc>
        <w:tc>
          <w:tcPr>
            <w:tcW w:w="1405" w:type="dxa"/>
            <w:vAlign w:val="bottom"/>
            <w:shd w:val="none"/>
            <w:tcMar>
              <w:top w:w="0" w:type="dxa"/>
              <w:left w:w="108" w:type="dxa"/>
              <w:bottom w:w="0" w:type="dxa"/>
              <w:right w:w="108" w:type="dxa"/>
            </w:tcMar>
            <w:tcBorders>
              <w:top w:val="single" w:sz="4" w:space="0" w:color="000000" tmln="10, 20, 20, 0, 0"/>
              <w:left w:val="nil" w:sz="0" w:space="0" w:color="000000" tmln="20, 20, 20, 0, 0"/>
              <w:bottom w:val="single" w:sz="16" w:space="0" w:color="000000" tmln="4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1136591,2</w:t>
            </w:r>
          </w:p>
        </w:tc>
        <w:tc>
          <w:tcPr>
            <w:tcW w:w="1404" w:type="dxa"/>
            <w:vAlign w:val="bottom"/>
            <w:shd w:val="none"/>
            <w:tcMar>
              <w:top w:w="0" w:type="dxa"/>
              <w:left w:w="108" w:type="dxa"/>
              <w:bottom w:w="0" w:type="dxa"/>
              <w:right w:w="108" w:type="dxa"/>
            </w:tcMar>
            <w:tcBorders>
              <w:top w:val="single" w:sz="4" w:space="0" w:color="000000" tmln="10, 20, 20, 0, 0"/>
              <w:left w:val="nil" w:sz="0" w:space="0" w:color="000000" tmln="20, 20, 20, 0, 0"/>
              <w:bottom w:val="single" w:sz="16" w:space="0" w:color="000000" tmln="4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1140977,9</w:t>
            </w:r>
          </w:p>
        </w:tc>
        <w:tc>
          <w:tcPr>
            <w:tcW w:w="1486" w:type="dxa"/>
            <w:vAlign w:val="bottom"/>
            <w:shd w:val="solid" w:color="FFFFFF" tmshd="6553856, 16777215, 16777215"/>
            <w:tcMar>
              <w:top w:w="0" w:type="dxa"/>
              <w:left w:w="108" w:type="dxa"/>
              <w:bottom w:w="0" w:type="dxa"/>
              <w:right w:w="108" w:type="dxa"/>
            </w:tcMar>
            <w:tcBorders>
              <w:top w:val="single" w:sz="4" w:space="0" w:color="000000" tmln="10, 20, 20, 0, 0"/>
              <w:left w:val="nil" w:sz="0" w:space="0" w:color="000000" tmln="20, 20, 20, 0, 0"/>
              <w:bottom w:val="single" w:sz="16" w:space="0" w:color="000000" tmln="4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27836,9</w:t>
            </w:r>
          </w:p>
        </w:tc>
        <w:tc>
          <w:tcPr>
            <w:tcW w:w="954" w:type="dxa"/>
            <w:vAlign w:val="bottom"/>
            <w:shd w:val="none"/>
            <w:tcMar>
              <w:top w:w="0" w:type="dxa"/>
              <w:left w:w="108" w:type="dxa"/>
              <w:bottom w:w="0" w:type="dxa"/>
              <w:right w:w="108" w:type="dxa"/>
            </w:tcMar>
            <w:tcBorders>
              <w:top w:val="single" w:sz="4" w:space="0" w:color="000000" tmln="10, 20, 20, 0, 0"/>
              <w:left w:val="nil" w:sz="0" w:space="0" w:color="000000" tmln="20, 20, 20, 0, 0"/>
              <w:bottom w:val="single" w:sz="16" w:space="0" w:color="000000" tmln="4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102,5</w:t>
            </w:r>
          </w:p>
        </w:tc>
        <w:tc>
          <w:tcPr>
            <w:tcW w:w="1398" w:type="dxa"/>
            <w:vAlign w:val="bottom"/>
            <w:shd w:val="solid" w:color="FFFFFF" tmshd="6553856, 16777215, 16777215"/>
            <w:tcMar>
              <w:top w:w="0" w:type="dxa"/>
              <w:left w:w="108" w:type="dxa"/>
              <w:bottom w:w="0" w:type="dxa"/>
              <w:right w:w="108" w:type="dxa"/>
            </w:tcMar>
            <w:tcBorders>
              <w:top w:val="single" w:sz="4" w:space="0" w:color="000000" tmln="10, 20, 20, 0, 0"/>
              <w:left w:val="nil" w:sz="0" w:space="0" w:color="000000" tmln="20, 20, 20, 0, 0"/>
              <w:bottom w:val="single" w:sz="16" w:space="0" w:color="000000" tmln="4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4386,7</w:t>
            </w:r>
          </w:p>
        </w:tc>
        <w:tc>
          <w:tcPr>
            <w:tcW w:w="1227" w:type="dxa"/>
            <w:vAlign w:val="bottom"/>
            <w:shd w:val="solid" w:color="FFFFFF" tmshd="6553856, 16777215, 16777215"/>
            <w:tcMar>
              <w:top w:w="0" w:type="dxa"/>
              <w:left w:w="108" w:type="dxa"/>
              <w:bottom w:w="0" w:type="dxa"/>
              <w:right w:w="108" w:type="dxa"/>
            </w:tcMar>
            <w:tcBorders>
              <w:top w:val="single" w:sz="4" w:space="0" w:color="000000" tmln="10, 20, 20, 0, 0"/>
              <w:left w:val="nil" w:sz="0" w:space="0" w:color="000000" tmln="20, 20, 20, 0, 0"/>
              <w:bottom w:val="single" w:sz="16" w:space="0" w:color="000000" tmln="4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100,4</w:t>
            </w:r>
          </w:p>
        </w:tc>
        <w:tc>
          <w:tcPr>
            <w:tcW w:w="1285" w:type="dxa"/>
            <w:vAlign w:val="bottom"/>
            <w:shd w:val="solid" w:color="FFFFFF" tmshd="6553856, 16777215, 16777215"/>
            <w:tcMar>
              <w:top w:w="0" w:type="dxa"/>
              <w:left w:w="108" w:type="dxa"/>
              <w:bottom w:w="0" w:type="dxa"/>
              <w:right w:w="108" w:type="dxa"/>
            </w:tcMar>
            <w:tcBorders>
              <w:top w:val="single" w:sz="4" w:space="0" w:color="000000" tmln="10, 20, 20, 0, 0"/>
              <w:left w:val="single" w:sz="4" w:space="0" w:color="000000" tmln="10, 20, 20, 0, 0"/>
              <w:bottom w:val="single" w:sz="16" w:space="0" w:color="000000" tmln="40, 20, 20, 0, 0"/>
              <w:right w:val="nil" w:sz="0" w:space="0" w:color="000000" tmln="20, 20, 20, 0, 0"/>
              <w:tl2br w:val="nil" w:sz="0" w:space="0" w:color="000000" tmln="20, 20, 20, 0, 0"/>
              <w:tr2bl w:val="nil" w:sz="0" w:space="0" w:color="000000" tmln="20, 20, 20, 0, 0"/>
            </w:tcBorders>
            <w:tmTcPr id="1781060902" protected="0"/>
          </w:tcPr>
          <w:p>
            <w:pPr>
              <w:rPr>
                <w:b/>
                <w:bCs/>
                <w:color w:val="000000"/>
              </w:rPr>
            </w:pPr>
            <w:r>
              <w:rPr>
                <w:b/>
                <w:bCs/>
                <w:color w:val="000000"/>
              </w:rPr>
              <w:t>114879,5</w:t>
            </w:r>
          </w:p>
        </w:tc>
        <w:tc>
          <w:tcPr>
            <w:tcW w:w="1214" w:type="dxa"/>
            <w:vAlign w:val="bottom"/>
            <w:shd w:val="solid" w:color="FFFFFF" tmshd="6553856, 16777215, 16777215"/>
            <w:tcMar>
              <w:top w:w="0" w:type="dxa"/>
              <w:left w:w="108" w:type="dxa"/>
              <w:bottom w:w="0" w:type="dxa"/>
              <w:right w:w="108" w:type="dxa"/>
            </w:tcMar>
            <w:tcBorders>
              <w:top w:val="single" w:sz="4" w:space="0" w:color="000000" tmln="10, 20, 20, 0, 0"/>
              <w:left w:val="single" w:sz="4" w:space="0" w:color="000000" tmln="10, 20, 20, 0, 0"/>
              <w:bottom w:val="single" w:sz="16" w:space="0" w:color="000000" tmln="40, 20, 20, 0, 0"/>
              <w:right w:val="single" w:sz="16" w:space="0" w:color="000000" tmln="40, 20, 20, 0, 0"/>
              <w:tl2br w:val="nil" w:sz="0" w:space="0" w:color="000000" tmln="20, 20, 20, 0, 0"/>
              <w:tr2bl w:val="nil" w:sz="0" w:space="0" w:color="000000" tmln="20, 20, 20, 0, 0"/>
            </w:tcBorders>
            <w:tmTcPr id="1781060902" protected="0"/>
          </w:tcPr>
          <w:p>
            <w:pPr>
              <w:rPr>
                <w:b/>
                <w:bCs/>
                <w:color w:val="000000"/>
              </w:rPr>
            </w:pPr>
            <w:r>
              <w:rPr>
                <w:b/>
                <w:bCs/>
                <w:color w:val="000000"/>
              </w:rPr>
              <w:t>111,2</w:t>
            </w:r>
          </w:p>
        </w:tc>
      </w:tr>
    </w:tbl>
    <w:p>
      <w:pPr>
        <w:ind w:firstLine="720"/>
        <w:spacing/>
        <w:contextualSpacing/>
        <w:jc w:val="both"/>
        <w:widowControl/>
        <w:rPr>
          <w:color w:val="000000"/>
          <w:sz w:val="24"/>
          <w:szCs w:val="24"/>
        </w:rPr>
      </w:pPr>
      <w:r>
        <w:rPr>
          <w:color w:val="000000"/>
          <w:sz w:val="24"/>
          <w:szCs w:val="24"/>
        </w:rPr>
        <w:t xml:space="preserve"> </w:t>
      </w:r>
    </w:p>
    <w:p>
      <w:pPr>
        <w:sectPr>
          <w:footnotePr>
            <w:pos w:val="pageBottom"/>
            <w:numFmt w:val="decimal"/>
            <w:numStart w:val="1"/>
            <w:numRestart w:val="continuous"/>
          </w:footnotePr>
          <w:endnotePr>
            <w:pos w:val="docEnd"/>
            <w:numFmt w:val="lowerRoman"/>
            <w:numStart w:val="1"/>
            <w:numRestart w:val="continuous"/>
          </w:endnotePr>
          <w:headerReference w:type="default" r:id="rId11"/>
          <w:footerReference w:type="default" r:id="rId12"/>
          <w:type w:val="nextPage"/>
          <w:pgSz w:h="11906" w:w="16838" w:orient="landscape"/>
          <w:pgMar w:left="567" w:top="1134" w:right="395" w:bottom="776" w:header="0"/>
          <w:paperSrc w:first="0" w:other="0" a="0" b="0"/>
          <w:pgNumType w:fmt="decimal"/>
          <w:tmGutter w:val="3"/>
          <w:mirrorMargins w:val="0"/>
          <w:tmSection w:h="-1">
            <w:tmHeader w:id="0" w:h="0" edge="0" text="0">
              <w:shd w:val="none"/>
            </w:tmHeader>
            <w:tmFooter w:id="0" w:h="0" edge="720"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spacing/>
        <w:jc w:val="center"/>
        <w:rPr>
          <w:b/>
          <w:color w:val="000000"/>
          <w:sz w:val="16"/>
          <w:szCs w:val="16"/>
        </w:rPr>
      </w:pPr>
      <w:r>
        <w:rPr>
          <w:b/>
          <w:color w:val="000000"/>
          <w:sz w:val="16"/>
          <w:szCs w:val="16"/>
        </w:rPr>
      </w:r>
    </w:p>
    <w:p>
      <w:pPr>
        <w:ind w:firstLine="720"/>
        <w:spacing/>
        <w:jc w:val="both"/>
        <w:rPr>
          <w:color w:val="000000"/>
          <w:sz w:val="24"/>
          <w:szCs w:val="24"/>
        </w:rPr>
      </w:pPr>
      <w:r>
        <w:rPr>
          <w:color w:val="000000"/>
          <w:sz w:val="24"/>
          <w:szCs w:val="24"/>
        </w:rPr>
        <w:t>Бюджет муниципального образования «Анжеро-Судженский городской округ Кемеровской области - Кузбасса» (далее - местный бюджет) за  2025 год выполнен по доходам на 99,2 %  к годовому плану и составил 4 201 003,4 тыс. рублей, при годовом плане – 4 232 883,5 тыс. рублей. По сравнению с уровнем прошлого года доходы выполнены на 87,9 %.</w:t>
      </w:r>
    </w:p>
    <w:p>
      <w:pPr>
        <w:ind w:firstLine="720"/>
        <w:spacing/>
        <w:jc w:val="both"/>
        <w:rPr>
          <w:color w:val="000000"/>
          <w:sz w:val="24"/>
          <w:szCs w:val="24"/>
        </w:rPr>
      </w:pPr>
      <w:r>
        <w:rPr>
          <w:color w:val="000000"/>
          <w:sz w:val="24"/>
          <w:szCs w:val="24"/>
        </w:rPr>
        <w:t>Собственная база местного бюджета (с учетом прочих безвозмездных поступлений и безвозмездных поступлений от негосударственных организаций) выполнена к годовому плану на 100,4 % и составила 1 140 977,9 тыс. рублей, при плане – 1 136 591,2 тыс. рублей.</w:t>
      </w:r>
    </w:p>
    <w:p>
      <w:pPr>
        <w:ind w:firstLine="720"/>
        <w:spacing/>
        <w:jc w:val="both"/>
        <w:rPr>
          <w:color w:val="000000"/>
          <w:sz w:val="24"/>
          <w:szCs w:val="24"/>
        </w:rPr>
      </w:pPr>
      <w:r>
        <w:rPr>
          <w:color w:val="000000"/>
          <w:sz w:val="24"/>
          <w:szCs w:val="24"/>
        </w:rPr>
        <w:t>Налоговые   и   неналоговые  доходы   местного   бюджета выполнены на 100,4 %, по сравнению с уровнем прошлого года налоговые и неналоговые доходы местного бюджета - на 112,6 % и составили 1 127 644,5 тыс. рублей.</w:t>
      </w:r>
    </w:p>
    <w:p>
      <w:pPr>
        <w:ind w:firstLine="720"/>
        <w:spacing/>
        <w:jc w:val="both"/>
        <w:rPr>
          <w:color w:val="000000"/>
          <w:sz w:val="24"/>
          <w:szCs w:val="24"/>
        </w:rPr>
      </w:pPr>
      <w:r>
        <w:rPr>
          <w:color w:val="000000"/>
          <w:sz w:val="24"/>
          <w:szCs w:val="24"/>
        </w:rPr>
        <w:t xml:space="preserve">Налоговые   доходы выполнены к годовому плану на 99,5 % и составили 988 763,7 тыс. рублей, при плане – 993 668,0 тыс. рублей. Доля налоговых доходов в собственных доходах городского округа – 87,7 %. По сравнению с уровнем прошлого года выполнение составило 112,9 %. </w:t>
      </w:r>
    </w:p>
    <w:p>
      <w:pPr>
        <w:ind w:firstLine="720"/>
        <w:spacing/>
        <w:jc w:val="both"/>
        <w:rPr>
          <w:color w:val="000000"/>
          <w:sz w:val="24"/>
          <w:szCs w:val="24"/>
        </w:rPr>
      </w:pPr>
      <w:r>
        <w:rPr>
          <w:color w:val="000000"/>
          <w:sz w:val="24"/>
          <w:szCs w:val="24"/>
        </w:rPr>
        <w:t>Неналоговые доходы выполнены к годовому плану на 107,1 % и составили 138 880,9 тыс. рублей, при плане – 129 664,2 тыс. рублей, по сравнению с уровнем 2024 года поступления составили 110,2 %. Доля неналоговых доходов в собственных доходах – 12,0 %.</w:t>
      </w:r>
    </w:p>
    <w:p>
      <w:pPr>
        <w:ind w:firstLine="720"/>
        <w:spacing/>
        <w:jc w:val="both"/>
        <w:rPr>
          <w:rFonts w:eastAsia="Calibri"/>
          <w:color w:val="000000"/>
          <w:sz w:val="24"/>
          <w:szCs w:val="24"/>
        </w:rPr>
      </w:pPr>
      <w:r>
        <w:rPr>
          <w:rFonts w:eastAsia="Calibri"/>
          <w:color w:val="000000"/>
          <w:sz w:val="24"/>
          <w:szCs w:val="24"/>
        </w:rPr>
        <w:t xml:space="preserve">Удельный вес отдельных видов доходов (%) в сумме налоговых и неналоговых доходов составил:      </w:t>
      </w:r>
    </w:p>
    <w:tbl>
      <w:tblPr>
        <w:tblStyle w:val="TableNormal"/>
        <w:name w:val="Таблица6"/>
        <w:tabOrder w:val="0"/>
        <w:jc w:val="left"/>
        <w:tblInd w:w="0" w:type="dxa"/>
        <w:tblW w:w="9780" w:type="dxa"/>
        <w:tblLook w:val="0600" w:firstRow="0" w:lastRow="0" w:firstColumn="0" w:lastColumn="0" w:noHBand="1" w:noVBand="1"/>
      </w:tblPr>
      <w:tblGrid>
        <w:gridCol w:w="8022"/>
        <w:gridCol w:w="282"/>
        <w:gridCol w:w="1476"/>
      </w:tblGrid>
      <w:tr>
        <w:trPr>
          <w:tblHeader w:val="0"/>
          <w:cantSplit w:val="0"/>
          <w:trHeight w:val="0" w:hRule="auto"/>
        </w:trPr>
        <w:tc>
          <w:tcPr>
            <w:tcW w:w="802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1060902" protected="1"/>
          </w:tcPr>
          <w:p>
            <w:pPr>
              <w:rPr>
                <w:color w:val="000000"/>
                <w:sz w:val="24"/>
                <w:szCs w:val="24"/>
              </w:rPr>
            </w:pPr>
            <w:r>
              <w:rPr>
                <w:color w:val="000000"/>
                <w:sz w:val="24"/>
                <w:szCs w:val="24"/>
              </w:rPr>
              <w:t>- налог на доходы физических лиц -</w:t>
            </w:r>
          </w:p>
        </w:tc>
        <w:tc>
          <w:tcPr>
            <w:tcW w:w="28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1060902" protected="1"/>
          </w:tcPr>
          <w:p>
            <w:pPr>
              <w:rPr>
                <w:color w:val="000000"/>
                <w:sz w:val="24"/>
                <w:szCs w:val="24"/>
              </w:rPr>
            </w:pPr>
            <w:r>
              <w:rPr>
                <w:color w:val="000000"/>
                <w:sz w:val="24"/>
                <w:szCs w:val="24"/>
              </w:rPr>
            </w:r>
          </w:p>
        </w:tc>
        <w:tc>
          <w:tcPr>
            <w:tcW w:w="147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1060902" protected="1"/>
          </w:tcPr>
          <w:p>
            <w:pPr>
              <w:rPr>
                <w:color w:val="000000"/>
                <w:sz w:val="24"/>
                <w:szCs w:val="24"/>
              </w:rPr>
            </w:pPr>
            <w:r>
              <w:rPr>
                <w:color w:val="000000"/>
                <w:sz w:val="24"/>
                <w:szCs w:val="24"/>
              </w:rPr>
              <w:t>65,4</w:t>
            </w:r>
          </w:p>
        </w:tc>
      </w:tr>
      <w:tr>
        <w:trPr>
          <w:tblHeader w:val="0"/>
          <w:cantSplit w:val="0"/>
          <w:trHeight w:val="0" w:hRule="auto"/>
        </w:trPr>
        <w:tc>
          <w:tcPr>
            <w:tcW w:w="802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1060902" protected="1"/>
          </w:tcPr>
          <w:p>
            <w:pPr>
              <w:rPr>
                <w:color w:val="000000"/>
                <w:sz w:val="24"/>
                <w:szCs w:val="24"/>
              </w:rPr>
            </w:pPr>
            <w:r>
              <w:rPr>
                <w:color w:val="000000"/>
                <w:sz w:val="24"/>
                <w:szCs w:val="24"/>
              </w:rPr>
              <w:t>- акцизы по подакцизным товарам -</w:t>
            </w:r>
          </w:p>
        </w:tc>
        <w:tc>
          <w:tcPr>
            <w:tcW w:w="28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1060902" protected="1"/>
          </w:tcPr>
          <w:p>
            <w:pPr>
              <w:rPr>
                <w:color w:val="000000"/>
                <w:sz w:val="24"/>
                <w:szCs w:val="24"/>
              </w:rPr>
            </w:pPr>
            <w:r>
              <w:rPr>
                <w:color w:val="000000"/>
                <w:sz w:val="24"/>
                <w:szCs w:val="24"/>
              </w:rPr>
            </w:r>
          </w:p>
        </w:tc>
        <w:tc>
          <w:tcPr>
            <w:tcW w:w="147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1060902" protected="1"/>
          </w:tcPr>
          <w:p>
            <w:pPr>
              <w:rPr>
                <w:color w:val="000000"/>
                <w:sz w:val="24"/>
                <w:szCs w:val="24"/>
              </w:rPr>
            </w:pPr>
            <w:r>
              <w:rPr>
                <w:color w:val="000000"/>
                <w:sz w:val="24"/>
                <w:szCs w:val="24"/>
              </w:rPr>
              <w:t>2,8</w:t>
            </w:r>
          </w:p>
        </w:tc>
      </w:tr>
      <w:tr>
        <w:trPr>
          <w:tblHeader w:val="0"/>
          <w:cantSplit w:val="0"/>
          <w:trHeight w:val="0" w:hRule="auto"/>
        </w:trPr>
        <w:tc>
          <w:tcPr>
            <w:tcW w:w="802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1060902" protected="1"/>
          </w:tcPr>
          <w:p>
            <w:pPr>
              <w:rPr>
                <w:color w:val="000000"/>
                <w:sz w:val="24"/>
                <w:szCs w:val="24"/>
              </w:rPr>
            </w:pPr>
            <w:r>
              <w:rPr>
                <w:color w:val="000000"/>
                <w:sz w:val="24"/>
                <w:szCs w:val="24"/>
              </w:rPr>
              <w:t>- упрощенная система налогообложения -</w:t>
            </w:r>
          </w:p>
        </w:tc>
        <w:tc>
          <w:tcPr>
            <w:tcW w:w="28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1060902" protected="1"/>
          </w:tcPr>
          <w:p>
            <w:pPr>
              <w:rPr>
                <w:color w:val="000000"/>
                <w:sz w:val="24"/>
                <w:szCs w:val="24"/>
              </w:rPr>
            </w:pPr>
            <w:r>
              <w:rPr>
                <w:color w:val="000000"/>
                <w:sz w:val="24"/>
                <w:szCs w:val="24"/>
              </w:rPr>
            </w:r>
          </w:p>
        </w:tc>
        <w:tc>
          <w:tcPr>
            <w:tcW w:w="147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1060902" protected="1"/>
          </w:tcPr>
          <w:p>
            <w:pPr>
              <w:rPr>
                <w:color w:val="000000"/>
                <w:sz w:val="24"/>
                <w:szCs w:val="24"/>
              </w:rPr>
            </w:pPr>
            <w:r>
              <w:rPr>
                <w:color w:val="000000"/>
                <w:sz w:val="24"/>
                <w:szCs w:val="24"/>
              </w:rPr>
              <w:t>7,0</w:t>
            </w:r>
          </w:p>
        </w:tc>
      </w:tr>
      <w:tr>
        <w:trPr>
          <w:tblHeader w:val="0"/>
          <w:cantSplit w:val="0"/>
          <w:trHeight w:val="0" w:hRule="auto"/>
        </w:trPr>
        <w:tc>
          <w:tcPr>
            <w:tcW w:w="802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1060902" protected="1"/>
          </w:tcPr>
          <w:p>
            <w:pPr>
              <w:rPr>
                <w:color w:val="000000"/>
                <w:sz w:val="24"/>
                <w:szCs w:val="24"/>
              </w:rPr>
            </w:pPr>
            <w:r>
              <w:rPr>
                <w:color w:val="000000"/>
                <w:sz w:val="24"/>
                <w:szCs w:val="24"/>
              </w:rPr>
              <w:t>- патентная система налогообложения -</w:t>
            </w:r>
          </w:p>
        </w:tc>
        <w:tc>
          <w:tcPr>
            <w:tcW w:w="28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1060902" protected="1"/>
          </w:tcPr>
          <w:p>
            <w:pPr>
              <w:rPr>
                <w:color w:val="000000"/>
                <w:sz w:val="24"/>
                <w:szCs w:val="24"/>
              </w:rPr>
            </w:pPr>
            <w:r>
              <w:rPr>
                <w:color w:val="000000"/>
                <w:sz w:val="24"/>
                <w:szCs w:val="24"/>
              </w:rPr>
            </w:r>
          </w:p>
        </w:tc>
        <w:tc>
          <w:tcPr>
            <w:tcW w:w="147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1060902" protected="1"/>
          </w:tcPr>
          <w:p>
            <w:pPr>
              <w:rPr>
                <w:color w:val="000000"/>
                <w:sz w:val="24"/>
                <w:szCs w:val="24"/>
              </w:rPr>
            </w:pPr>
            <w:r>
              <w:rPr>
                <w:color w:val="000000"/>
                <w:sz w:val="24"/>
                <w:szCs w:val="24"/>
              </w:rPr>
              <w:t>1,7</w:t>
            </w:r>
          </w:p>
        </w:tc>
      </w:tr>
      <w:tr>
        <w:trPr>
          <w:tblHeader w:val="0"/>
          <w:cantSplit w:val="0"/>
          <w:trHeight w:val="0" w:hRule="auto"/>
        </w:trPr>
        <w:tc>
          <w:tcPr>
            <w:tcW w:w="802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1060902" protected="1"/>
          </w:tcPr>
          <w:p>
            <w:pPr>
              <w:rPr>
                <w:color w:val="000000"/>
                <w:sz w:val="24"/>
                <w:szCs w:val="24"/>
              </w:rPr>
            </w:pPr>
            <w:r>
              <w:rPr>
                <w:color w:val="000000"/>
                <w:sz w:val="24"/>
                <w:szCs w:val="24"/>
              </w:rPr>
              <w:t>- земельный налог -</w:t>
            </w:r>
          </w:p>
        </w:tc>
        <w:tc>
          <w:tcPr>
            <w:tcW w:w="28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1060902" protected="1"/>
          </w:tcPr>
          <w:p>
            <w:pPr>
              <w:rPr>
                <w:color w:val="000000"/>
                <w:sz w:val="24"/>
                <w:szCs w:val="24"/>
              </w:rPr>
            </w:pPr>
            <w:r>
              <w:rPr>
                <w:color w:val="000000"/>
                <w:sz w:val="24"/>
                <w:szCs w:val="24"/>
              </w:rPr>
            </w:r>
          </w:p>
        </w:tc>
        <w:tc>
          <w:tcPr>
            <w:tcW w:w="147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1060902" protected="1"/>
          </w:tcPr>
          <w:p>
            <w:pPr>
              <w:rPr>
                <w:color w:val="000000"/>
                <w:sz w:val="24"/>
                <w:szCs w:val="24"/>
              </w:rPr>
            </w:pPr>
            <w:r>
              <w:rPr>
                <w:color w:val="000000"/>
                <w:sz w:val="24"/>
                <w:szCs w:val="24"/>
              </w:rPr>
              <w:t>5,2</w:t>
            </w:r>
          </w:p>
        </w:tc>
      </w:tr>
      <w:tr>
        <w:trPr>
          <w:tblHeader w:val="0"/>
          <w:cantSplit w:val="0"/>
          <w:trHeight w:val="0" w:hRule="auto"/>
        </w:trPr>
        <w:tc>
          <w:tcPr>
            <w:tcW w:w="802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1060902" protected="1"/>
          </w:tcPr>
          <w:p>
            <w:pPr>
              <w:rPr>
                <w:color w:val="000000"/>
                <w:sz w:val="24"/>
                <w:szCs w:val="24"/>
              </w:rPr>
            </w:pPr>
            <w:r>
              <w:rPr>
                <w:color w:val="000000"/>
                <w:sz w:val="24"/>
                <w:szCs w:val="24"/>
              </w:rPr>
              <w:t>- налог на имущество физических лиц -</w:t>
            </w:r>
          </w:p>
        </w:tc>
        <w:tc>
          <w:tcPr>
            <w:tcW w:w="28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1060902" protected="1"/>
          </w:tcPr>
          <w:p>
            <w:pPr>
              <w:rPr>
                <w:color w:val="000000"/>
                <w:sz w:val="24"/>
                <w:szCs w:val="24"/>
              </w:rPr>
            </w:pPr>
            <w:r>
              <w:rPr>
                <w:color w:val="000000"/>
                <w:sz w:val="24"/>
                <w:szCs w:val="24"/>
              </w:rPr>
            </w:r>
          </w:p>
        </w:tc>
        <w:tc>
          <w:tcPr>
            <w:tcW w:w="147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1060902" protected="1"/>
          </w:tcPr>
          <w:p>
            <w:pPr>
              <w:rPr>
                <w:color w:val="000000"/>
                <w:sz w:val="24"/>
                <w:szCs w:val="24"/>
              </w:rPr>
            </w:pPr>
            <w:r>
              <w:rPr>
                <w:color w:val="000000"/>
                <w:sz w:val="24"/>
                <w:szCs w:val="24"/>
              </w:rPr>
              <w:t>1,9</w:t>
            </w:r>
          </w:p>
        </w:tc>
      </w:tr>
      <w:tr>
        <w:trPr>
          <w:tblHeader w:val="0"/>
          <w:cantSplit w:val="0"/>
          <w:trHeight w:val="0" w:hRule="auto"/>
        </w:trPr>
        <w:tc>
          <w:tcPr>
            <w:tcW w:w="802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1060902" protected="1"/>
          </w:tcPr>
          <w:p>
            <w:pPr>
              <w:rPr>
                <w:color w:val="000000"/>
                <w:sz w:val="24"/>
                <w:szCs w:val="24"/>
              </w:rPr>
            </w:pPr>
            <w:r>
              <w:rPr>
                <w:color w:val="000000"/>
                <w:sz w:val="24"/>
                <w:szCs w:val="24"/>
              </w:rPr>
              <w:t>- государственная пошлина -</w:t>
            </w:r>
          </w:p>
        </w:tc>
        <w:tc>
          <w:tcPr>
            <w:tcW w:w="28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1060902" protected="1"/>
          </w:tcPr>
          <w:p>
            <w:pPr>
              <w:rPr>
                <w:color w:val="000000"/>
                <w:sz w:val="24"/>
                <w:szCs w:val="24"/>
              </w:rPr>
            </w:pPr>
            <w:r>
              <w:rPr>
                <w:color w:val="000000"/>
                <w:sz w:val="24"/>
                <w:szCs w:val="24"/>
              </w:rPr>
            </w:r>
          </w:p>
        </w:tc>
        <w:tc>
          <w:tcPr>
            <w:tcW w:w="147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1060902" protected="1"/>
          </w:tcPr>
          <w:p>
            <w:pPr>
              <w:rPr>
                <w:color w:val="000000"/>
                <w:sz w:val="24"/>
                <w:szCs w:val="24"/>
              </w:rPr>
            </w:pPr>
            <w:r>
              <w:rPr>
                <w:color w:val="000000"/>
                <w:sz w:val="24"/>
                <w:szCs w:val="24"/>
              </w:rPr>
              <w:t>3,2</w:t>
            </w:r>
          </w:p>
        </w:tc>
      </w:tr>
      <w:tr>
        <w:trPr>
          <w:tblHeader w:val="0"/>
          <w:cantSplit w:val="0"/>
          <w:trHeight w:val="0" w:hRule="auto"/>
        </w:trPr>
        <w:tc>
          <w:tcPr>
            <w:tcW w:w="802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1060902" protected="1"/>
          </w:tcPr>
          <w:p>
            <w:pPr>
              <w:rPr>
                <w:color w:val="000000"/>
                <w:sz w:val="24"/>
                <w:szCs w:val="24"/>
              </w:rPr>
            </w:pPr>
            <w:r>
              <w:rPr>
                <w:color w:val="000000"/>
                <w:sz w:val="24"/>
                <w:szCs w:val="24"/>
              </w:rPr>
              <w:t>- арендная плата за земли -</w:t>
            </w:r>
          </w:p>
        </w:tc>
        <w:tc>
          <w:tcPr>
            <w:tcW w:w="28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1060902" protected="1"/>
          </w:tcPr>
          <w:p>
            <w:pPr>
              <w:rPr>
                <w:color w:val="000000"/>
                <w:sz w:val="24"/>
                <w:szCs w:val="24"/>
              </w:rPr>
            </w:pPr>
            <w:r>
              <w:rPr>
                <w:color w:val="000000"/>
                <w:sz w:val="24"/>
                <w:szCs w:val="24"/>
              </w:rPr>
            </w:r>
          </w:p>
        </w:tc>
        <w:tc>
          <w:tcPr>
            <w:tcW w:w="147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1060902" protected="1"/>
          </w:tcPr>
          <w:p>
            <w:pPr>
              <w:rPr>
                <w:color w:val="000000"/>
                <w:sz w:val="24"/>
                <w:szCs w:val="24"/>
              </w:rPr>
            </w:pPr>
            <w:r>
              <w:rPr>
                <w:color w:val="000000"/>
                <w:sz w:val="24"/>
                <w:szCs w:val="24"/>
              </w:rPr>
              <w:t>6,5</w:t>
            </w:r>
          </w:p>
        </w:tc>
      </w:tr>
      <w:tr>
        <w:trPr>
          <w:tblHeader w:val="0"/>
          <w:cantSplit w:val="0"/>
          <w:trHeight w:val="120" w:hRule="atLeast"/>
        </w:trPr>
        <w:tc>
          <w:tcPr>
            <w:tcW w:w="802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1060902" protected="1"/>
          </w:tcPr>
          <w:p>
            <w:pPr>
              <w:rPr>
                <w:color w:val="000000"/>
                <w:sz w:val="24"/>
                <w:szCs w:val="24"/>
              </w:rPr>
            </w:pPr>
            <w:r>
              <w:rPr>
                <w:color w:val="000000"/>
                <w:sz w:val="24"/>
                <w:szCs w:val="24"/>
              </w:rPr>
              <w:t>- аренда имущества казны -</w:t>
            </w:r>
          </w:p>
        </w:tc>
        <w:tc>
          <w:tcPr>
            <w:tcW w:w="28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1060902" protected="1"/>
          </w:tcPr>
          <w:p>
            <w:pPr>
              <w:rPr>
                <w:color w:val="000000"/>
                <w:sz w:val="24"/>
                <w:szCs w:val="24"/>
              </w:rPr>
            </w:pPr>
            <w:r>
              <w:rPr>
                <w:color w:val="000000"/>
                <w:sz w:val="24"/>
                <w:szCs w:val="24"/>
              </w:rPr>
            </w:r>
          </w:p>
        </w:tc>
        <w:tc>
          <w:tcPr>
            <w:tcW w:w="147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1060902" protected="1"/>
          </w:tcPr>
          <w:p>
            <w:pPr>
              <w:rPr>
                <w:color w:val="000000"/>
                <w:sz w:val="24"/>
                <w:szCs w:val="24"/>
              </w:rPr>
            </w:pPr>
            <w:r>
              <w:rPr>
                <w:color w:val="000000"/>
                <w:sz w:val="24"/>
                <w:szCs w:val="24"/>
              </w:rPr>
              <w:t>2,1</w:t>
            </w:r>
          </w:p>
        </w:tc>
      </w:tr>
      <w:tr>
        <w:trPr>
          <w:tblHeader w:val="0"/>
          <w:cantSplit w:val="0"/>
          <w:trHeight w:val="0" w:hRule="auto"/>
        </w:trPr>
        <w:tc>
          <w:tcPr>
            <w:tcW w:w="802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1060902" protected="1"/>
          </w:tcPr>
          <w:p>
            <w:pPr>
              <w:rPr>
                <w:color w:val="000000"/>
                <w:sz w:val="24"/>
                <w:szCs w:val="24"/>
              </w:rPr>
            </w:pPr>
            <w:r>
              <w:rPr>
                <w:color w:val="000000"/>
                <w:sz w:val="24"/>
                <w:szCs w:val="24"/>
              </w:rPr>
              <w:t>- доходы от оказания платных услуг -</w:t>
            </w:r>
          </w:p>
        </w:tc>
        <w:tc>
          <w:tcPr>
            <w:tcW w:w="28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1060902" protected="1"/>
          </w:tcPr>
          <w:p>
            <w:pPr>
              <w:rPr>
                <w:color w:val="000000"/>
                <w:sz w:val="24"/>
                <w:szCs w:val="24"/>
              </w:rPr>
            </w:pPr>
            <w:r>
              <w:rPr>
                <w:color w:val="000000"/>
                <w:sz w:val="24"/>
                <w:szCs w:val="24"/>
              </w:rPr>
            </w:r>
          </w:p>
        </w:tc>
        <w:tc>
          <w:tcPr>
            <w:tcW w:w="147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1060902" protected="1"/>
          </w:tcPr>
          <w:p>
            <w:pPr>
              <w:rPr>
                <w:color w:val="000000"/>
                <w:sz w:val="24"/>
                <w:szCs w:val="24"/>
              </w:rPr>
            </w:pPr>
            <w:r>
              <w:rPr>
                <w:color w:val="000000"/>
                <w:sz w:val="24"/>
                <w:szCs w:val="24"/>
              </w:rPr>
              <w:t>0,8</w:t>
            </w:r>
          </w:p>
        </w:tc>
      </w:tr>
      <w:tr>
        <w:trPr>
          <w:tblHeader w:val="0"/>
          <w:cantSplit w:val="0"/>
          <w:trHeight w:val="0" w:hRule="auto"/>
        </w:trPr>
        <w:tc>
          <w:tcPr>
            <w:tcW w:w="802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1060902" protected="1"/>
          </w:tcPr>
          <w:p>
            <w:pPr>
              <w:rPr>
                <w:color w:val="000000"/>
                <w:sz w:val="24"/>
                <w:szCs w:val="24"/>
              </w:rPr>
            </w:pPr>
            <w:r>
              <w:rPr>
                <w:color w:val="000000"/>
                <w:sz w:val="24"/>
                <w:szCs w:val="24"/>
              </w:rPr>
              <w:t>- доходы от продажи материальных и нематериальных активов -</w:t>
            </w:r>
          </w:p>
        </w:tc>
        <w:tc>
          <w:tcPr>
            <w:tcW w:w="28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1060902" protected="1"/>
          </w:tcPr>
          <w:p>
            <w:pPr>
              <w:rPr>
                <w:color w:val="000000"/>
                <w:sz w:val="24"/>
                <w:szCs w:val="24"/>
              </w:rPr>
            </w:pPr>
            <w:r>
              <w:rPr>
                <w:color w:val="000000"/>
                <w:sz w:val="24"/>
                <w:szCs w:val="24"/>
              </w:rPr>
            </w:r>
          </w:p>
        </w:tc>
        <w:tc>
          <w:tcPr>
            <w:tcW w:w="147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1060902" protected="1"/>
          </w:tcPr>
          <w:p>
            <w:pPr>
              <w:rPr>
                <w:color w:val="000000"/>
                <w:sz w:val="24"/>
                <w:szCs w:val="24"/>
              </w:rPr>
            </w:pPr>
            <w:r>
              <w:rPr>
                <w:color w:val="000000"/>
                <w:sz w:val="24"/>
                <w:szCs w:val="24"/>
              </w:rPr>
              <w:t>0,5</w:t>
            </w:r>
          </w:p>
        </w:tc>
      </w:tr>
      <w:tr>
        <w:trPr>
          <w:tblHeader w:val="0"/>
          <w:cantSplit w:val="0"/>
          <w:trHeight w:val="0" w:hRule="auto"/>
        </w:trPr>
        <w:tc>
          <w:tcPr>
            <w:tcW w:w="802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1060902" protected="1"/>
          </w:tcPr>
          <w:p>
            <w:pPr>
              <w:rPr>
                <w:color w:val="000000"/>
                <w:sz w:val="24"/>
                <w:szCs w:val="24"/>
              </w:rPr>
            </w:pPr>
            <w:r>
              <w:rPr>
                <w:color w:val="000000"/>
                <w:sz w:val="24"/>
                <w:szCs w:val="24"/>
              </w:rPr>
              <w:t>- штрафы -</w:t>
            </w:r>
          </w:p>
        </w:tc>
        <w:tc>
          <w:tcPr>
            <w:tcW w:w="28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1060902" protected="1"/>
          </w:tcPr>
          <w:p>
            <w:pPr>
              <w:rPr>
                <w:color w:val="000000"/>
                <w:sz w:val="24"/>
                <w:szCs w:val="24"/>
              </w:rPr>
            </w:pPr>
            <w:r>
              <w:rPr>
                <w:color w:val="000000"/>
                <w:sz w:val="24"/>
                <w:szCs w:val="24"/>
              </w:rPr>
            </w:r>
          </w:p>
        </w:tc>
        <w:tc>
          <w:tcPr>
            <w:tcW w:w="147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1060902" protected="1"/>
          </w:tcPr>
          <w:p>
            <w:pPr>
              <w:rPr>
                <w:color w:val="000000"/>
                <w:sz w:val="24"/>
                <w:szCs w:val="24"/>
              </w:rPr>
            </w:pPr>
            <w:r>
              <w:rPr>
                <w:color w:val="000000"/>
                <w:sz w:val="24"/>
                <w:szCs w:val="24"/>
              </w:rPr>
              <w:t>1,3</w:t>
            </w:r>
          </w:p>
        </w:tc>
      </w:tr>
    </w:tbl>
    <w:p>
      <w:pPr>
        <w:ind w:firstLine="720"/>
        <w:spacing/>
        <w:jc w:val="both"/>
        <w:rPr>
          <w:rFonts w:eastAsia="Calibri"/>
          <w:color w:val="000000"/>
          <w:sz w:val="24"/>
          <w:szCs w:val="24"/>
        </w:rPr>
      </w:pPr>
      <w:r>
        <w:rPr>
          <w:rFonts w:eastAsia="Calibri"/>
          <w:color w:val="000000"/>
          <w:sz w:val="24"/>
          <w:szCs w:val="24"/>
        </w:rPr>
        <w:t xml:space="preserve">                                                        </w:t>
        <w:tab/>
        <w:tab/>
        <w:tab/>
        <w:tab/>
        <w:tab/>
        <w:t xml:space="preserve">                         </w:t>
      </w:r>
    </w:p>
    <w:p>
      <w:pPr>
        <w:ind w:firstLine="720"/>
        <w:spacing/>
        <w:contextualSpacing/>
        <w:jc w:val="both"/>
        <w:widowControl/>
        <w:rPr>
          <w:color w:val="000000"/>
          <w:sz w:val="24"/>
          <w:szCs w:val="24"/>
        </w:rPr>
      </w:pPr>
      <w:r>
        <w:rPr>
          <w:rFonts w:eastAsia="Calibri"/>
          <w:color w:val="000000"/>
          <w:sz w:val="24"/>
          <w:szCs w:val="24"/>
        </w:rPr>
        <w:t xml:space="preserve">Основной объем доходов местного бюджета за 2025 года обеспечен </w:t>
      </w:r>
      <w:r>
        <w:rPr>
          <w:rFonts w:eastAsia="Calibri"/>
          <w:b/>
          <w:bCs/>
          <w:i/>
          <w:iCs/>
          <w:color w:val="000000"/>
          <w:sz w:val="24"/>
          <w:szCs w:val="24"/>
        </w:rPr>
        <w:t>налогом на доходы физических лиц</w:t>
      </w:r>
      <w:r>
        <w:rPr>
          <w:rFonts w:eastAsia="Calibri"/>
          <w:b/>
          <w:bCs/>
          <w:color w:val="000000"/>
          <w:sz w:val="24"/>
          <w:szCs w:val="24"/>
        </w:rPr>
        <w:t>,</w:t>
      </w:r>
      <w:r>
        <w:rPr>
          <w:color w:val="000000"/>
          <w:sz w:val="24"/>
          <w:szCs w:val="24"/>
        </w:rPr>
        <w:t xml:space="preserve"> получено 737 775,1 тыс. рублей. К плану поступление выполнено на 99,5 %. По сравнению с уровнем прошлого года поступление увеличилось на 71 540,5 тыс. рублей или на 10,7 %. </w:t>
      </w:r>
      <w:r>
        <w:rPr>
          <w:color w:val="000000"/>
          <w:sz w:val="24"/>
          <w:szCs w:val="24"/>
        </w:rPr>
      </w:r>
    </w:p>
    <w:p>
      <w:pPr>
        <w:ind w:firstLine="720"/>
        <w:spacing/>
        <w:contextualSpacing/>
        <w:jc w:val="both"/>
        <w:widowControl/>
        <w:rPr>
          <w:color w:val="000000"/>
          <w:sz w:val="24"/>
          <w:szCs w:val="24"/>
          <w:shd w:val="clear" w:fill="ffffff"/>
        </w:rPr>
      </w:pPr>
      <w:r>
        <w:rPr>
          <w:color w:val="000000"/>
          <w:sz w:val="24"/>
          <w:szCs w:val="24"/>
        </w:rPr>
        <w:t xml:space="preserve">Налог взимаемый в связи с применением </w:t>
      </w:r>
      <w:r>
        <w:rPr>
          <w:b/>
          <w:bCs/>
          <w:i/>
          <w:iCs/>
          <w:color w:val="000000"/>
          <w:sz w:val="24"/>
          <w:szCs w:val="24"/>
        </w:rPr>
        <w:t>упрощённой системой налогообложения</w:t>
      </w:r>
      <w:r>
        <w:rPr>
          <w:color w:val="000000"/>
          <w:sz w:val="24"/>
          <w:szCs w:val="24"/>
          <w:shd w:val="clear" w:fill="ffffff"/>
        </w:rPr>
        <w:t xml:space="preserve"> за     2025 год получено 79 150,0 тыс. рублей. К плану поступление составило – 100,2 %.  Уменьшение по сравнению с уровнем прошлого года составило 7279,6 тыс. рублей или на 8,4 %, в связи с установлением коэффициента дефлятора в целях применения главы Налогового кодекса Российской Федерации 26.2 «УСН» равным 1,0, что ниже уровня  2024 году (1,329) на 25%.</w:t>
      </w:r>
      <w:r>
        <w:rPr>
          <w:color w:val="000000"/>
          <w:sz w:val="24"/>
          <w:szCs w:val="24"/>
          <w:shd w:val="clear" w:fill="ffffff"/>
        </w:rPr>
      </w:r>
    </w:p>
    <w:p>
      <w:pPr>
        <w:ind w:firstLine="709"/>
        <w:spacing/>
        <w:jc w:val="both"/>
        <w:rPr>
          <w:color w:val="000000"/>
          <w:sz w:val="24"/>
          <w:szCs w:val="24"/>
          <w:shd w:val="clear" w:fill="ffffff"/>
        </w:rPr>
      </w:pPr>
      <w:r>
        <w:rPr>
          <w:color w:val="000000"/>
          <w:sz w:val="24"/>
          <w:szCs w:val="24"/>
          <w:shd w:val="clear" w:fill="ffffff"/>
        </w:rPr>
        <w:t>В 2025 году на УСН перешли ООО «Молочный край» поступление за год 1332,0 тыс. рублей,  ООО «Ком САХ» поступление за год 765,0  тыс. рублей.</w:t>
      </w:r>
    </w:p>
    <w:p>
      <w:pPr>
        <w:ind w:firstLine="709"/>
        <w:spacing/>
        <w:jc w:val="both"/>
        <w:rPr>
          <w:color w:val="000000"/>
          <w:sz w:val="24"/>
          <w:szCs w:val="24"/>
        </w:rPr>
      </w:pPr>
      <w:r>
        <w:rPr>
          <w:color w:val="000000"/>
          <w:sz w:val="24"/>
          <w:szCs w:val="24"/>
          <w:shd w:val="clear" w:fill="ffffff"/>
        </w:rPr>
        <w:t>Снижение поступлений по следующим налогоплательщикам:</w:t>
      </w:r>
      <w:r>
        <w:rPr>
          <w:color w:val="000000"/>
          <w:sz w:val="24"/>
          <w:szCs w:val="24"/>
          <w:lang w:eastAsia="ru-ru"/>
        </w:rPr>
        <w:t xml:space="preserve"> </w:t>
      </w:r>
      <w:r>
        <w:rPr>
          <w:color w:val="000000"/>
          <w:sz w:val="24"/>
          <w:szCs w:val="24"/>
        </w:rPr>
        <w:t xml:space="preserve"> </w:t>
      </w:r>
    </w:p>
    <w:p>
      <w:pPr>
        <w:pStyle w:val="para121"/>
        <w:spacing/>
        <w:jc w:val="both"/>
        <w:rPr>
          <w:rFonts w:ascii="Times New Roman" w:hAnsi="Times New Roman" w:eastAsia="Times New Roman" w:cs="Times New Roman"/>
          <w:color w:val="000000"/>
          <w:sz w:val="24"/>
          <w:shd w:val="clear" w:fill="ffffff"/>
          <w:lang w:eastAsia="zh-cn"/>
        </w:rPr>
      </w:pPr>
      <w:r>
        <w:rPr>
          <w:rFonts w:ascii="Times New Roman" w:hAnsi="Times New Roman" w:eastAsia="Times New Roman" w:cs="Times New Roman"/>
          <w:color w:val="000000"/>
          <w:sz w:val="24"/>
          <w:lang w:eastAsia="zh-cn"/>
        </w:rPr>
        <w:t xml:space="preserve">ООО «Стройтехнология» на </w:t>
      </w:r>
      <w:r>
        <w:rPr>
          <w:rFonts w:ascii="Times New Roman" w:hAnsi="Times New Roman" w:eastAsia="Times New Roman" w:cs="Times New Roman"/>
          <w:color w:val="000000"/>
          <w:sz w:val="24"/>
          <w:shd w:val="clear" w:fill="ffffff"/>
          <w:lang w:eastAsia="zh-cn"/>
        </w:rPr>
        <w:t>2564,0</w:t>
      </w:r>
      <w:r>
        <w:rPr>
          <w:rFonts w:ascii="Times New Roman" w:hAnsi="Times New Roman" w:eastAsia="Times New Roman" w:cs="Times New Roman"/>
          <w:color w:val="000000"/>
          <w:sz w:val="24"/>
          <w:lang w:eastAsia="zh-cn"/>
        </w:rPr>
        <w:t xml:space="preserve"> т</w:t>
      </w:r>
      <w:r>
        <w:rPr>
          <w:rFonts w:ascii="Times New Roman" w:hAnsi="Times New Roman" w:eastAsia="Times New Roman" w:cs="Times New Roman"/>
          <w:color w:val="000000"/>
          <w:sz w:val="24"/>
          <w:shd w:val="clear" w:fill="ffffff"/>
          <w:lang w:eastAsia="zh-cn"/>
        </w:rPr>
        <w:t xml:space="preserve">ыс. рублей, </w:t>
      </w:r>
      <w:r>
        <w:rPr>
          <w:rFonts w:ascii="Times New Roman" w:hAnsi="Times New Roman" w:eastAsia="Times New Roman" w:cs="Times New Roman"/>
          <w:color w:val="000000"/>
          <w:sz w:val="24"/>
          <w:shd w:val="clear" w:fill="ffffff"/>
          <w:lang w:eastAsia="zh-cn"/>
        </w:rPr>
        <w:t xml:space="preserve">ООО Частная охранная организация «Кремлевская стена»  на </w:t>
      </w:r>
      <w:r>
        <w:rPr>
          <w:rFonts w:ascii="Times New Roman" w:hAnsi="Times New Roman" w:eastAsia="Times New Roman" w:cs="Times New Roman"/>
          <w:color w:val="000000"/>
          <w:sz w:val="24"/>
          <w:shd w:val="clear" w:fill="ffffff"/>
          <w:lang w:eastAsia="zh-cn"/>
        </w:rPr>
        <w:t xml:space="preserve">839 </w:t>
      </w:r>
      <w:r>
        <w:rPr>
          <w:rFonts w:ascii="Times New Roman" w:hAnsi="Times New Roman" w:eastAsia="Times New Roman" w:cs="Times New Roman"/>
          <w:color w:val="000000"/>
          <w:sz w:val="24"/>
          <w:shd w:val="clear" w:fill="ffffff"/>
          <w:lang w:eastAsia="zh-cn"/>
        </w:rPr>
        <w:t xml:space="preserve"> тыс.</w:t>
      </w:r>
      <w:r>
        <w:rPr>
          <w:rFonts w:ascii="Times New Roman" w:hAnsi="Times New Roman" w:eastAsia="Times New Roman" w:cs="Times New Roman"/>
          <w:color w:val="000000"/>
          <w:sz w:val="24"/>
          <w:shd w:val="clear" w:fill="ffffff"/>
          <w:lang w:eastAsia="zh-cn"/>
        </w:rPr>
        <w:t xml:space="preserve">, </w:t>
      </w:r>
      <w:r>
        <w:rPr>
          <w:rFonts w:ascii="Times New Roman" w:hAnsi="Times New Roman" w:eastAsia="Times New Roman" w:cs="Times New Roman"/>
          <w:color w:val="000000"/>
          <w:sz w:val="24"/>
          <w:shd w:val="clear" w:fill="ffffff"/>
          <w:lang w:eastAsia="zh-cn"/>
        </w:rPr>
        <w:t xml:space="preserve">ООО «ФАРМА-СИБ» – на 531 тыс. руб. </w:t>
      </w:r>
      <w:r>
        <w:rPr>
          <w:rFonts w:ascii="Times New Roman" w:hAnsi="Times New Roman" w:eastAsia="Times New Roman" w:cs="Times New Roman"/>
          <w:color w:val="000000"/>
          <w:sz w:val="24"/>
          <w:shd w:val="clear" w:fill="ffffff"/>
          <w:lang w:eastAsia="zh-cn"/>
        </w:rPr>
      </w:r>
    </w:p>
    <w:p>
      <w:pPr>
        <w:ind w:right="58" w:hanging="10"/>
        <w:rPr>
          <w:color w:val="000000"/>
          <w:sz w:val="24"/>
          <w:szCs w:val="24"/>
          <w:shd w:val="clear" w:fill="ffffff"/>
        </w:rPr>
      </w:pPr>
      <w:r>
        <w:rPr>
          <w:color w:val="000000"/>
          <w:sz w:val="24"/>
          <w:szCs w:val="24"/>
          <w:shd w:val="clear" w:fill="ffffff"/>
        </w:rPr>
        <w:t>В тоже время, произошел рост по следующим налогоплательщикам:</w:t>
      </w:r>
    </w:p>
    <w:p>
      <w:pPr>
        <w:ind w:right="58" w:hanging="10"/>
        <w:spacing/>
        <w:jc w:val="both"/>
        <w:rPr>
          <w:color w:val="000000"/>
          <w:sz w:val="24"/>
          <w:szCs w:val="24"/>
          <w:shd w:val="clear" w:fill="ffffff"/>
        </w:rPr>
      </w:pPr>
      <w:r>
        <w:rPr>
          <w:color w:val="000000"/>
          <w:sz w:val="24"/>
          <w:szCs w:val="24"/>
          <w:shd w:val="clear" w:fill="ffffff"/>
        </w:rPr>
        <w:t xml:space="preserve">- ООО «СтройДом»  – на 887,3 тыс. рублей;  </w:t>
      </w:r>
    </w:p>
    <w:p>
      <w:pPr>
        <w:spacing w:line="252" w:lineRule="auto"/>
        <w:jc w:val="both"/>
        <w:tabs defTabSz="720">
          <w:tab w:val="center" w:pos="2019" w:leader="none"/>
          <w:tab w:val="center" w:pos="3845" w:leader="none"/>
          <w:tab w:val="center" w:pos="7092" w:leader="none"/>
        </w:tabs>
        <w:rPr>
          <w:color w:val="000000"/>
          <w:sz w:val="24"/>
          <w:szCs w:val="24"/>
          <w:shd w:val="clear" w:fill="ffffff"/>
        </w:rPr>
      </w:pPr>
      <w:r>
        <w:rPr>
          <w:color w:val="000000"/>
          <w:sz w:val="24"/>
          <w:szCs w:val="24"/>
          <w:shd w:val="clear" w:fill="ffffff"/>
        </w:rPr>
        <w:t>- ООО «ЧОП Щит плюс» – на 825,8 тыс. рублей;</w:t>
      </w:r>
    </w:p>
    <w:p>
      <w:pPr>
        <w:spacing w:line="252" w:lineRule="auto"/>
        <w:jc w:val="both"/>
        <w:tabs defTabSz="720">
          <w:tab w:val="center" w:pos="2019" w:leader="none"/>
          <w:tab w:val="center" w:pos="3845" w:leader="none"/>
          <w:tab w:val="center" w:pos="7092" w:leader="none"/>
        </w:tabs>
        <w:rPr>
          <w:color w:val="000000"/>
          <w:sz w:val="24"/>
          <w:szCs w:val="24"/>
          <w:shd w:val="clear" w:fill="ffffff"/>
        </w:rPr>
      </w:pPr>
      <w:r>
        <w:rPr>
          <w:color w:val="000000"/>
          <w:sz w:val="24"/>
          <w:szCs w:val="24"/>
          <w:shd w:val="clear" w:fill="ffffff"/>
        </w:rPr>
        <w:t>- ООО «Гармония здоровья Кемерово» – на 178 тыс. рублей;</w:t>
      </w:r>
    </w:p>
    <w:p>
      <w:pPr>
        <w:spacing w:line="252" w:lineRule="auto"/>
        <w:jc w:val="both"/>
        <w:tabs defTabSz="720">
          <w:tab w:val="center" w:pos="2019" w:leader="none"/>
          <w:tab w:val="center" w:pos="3845" w:leader="none"/>
          <w:tab w:val="center" w:pos="7092" w:leader="none"/>
        </w:tabs>
        <w:rPr>
          <w:color w:val="000000"/>
          <w:sz w:val="24"/>
          <w:szCs w:val="24"/>
          <w:shd w:val="clear" w:fill="ffffff"/>
        </w:rPr>
      </w:pPr>
      <w:r>
        <w:rPr>
          <w:color w:val="000000"/>
          <w:sz w:val="24"/>
          <w:szCs w:val="24"/>
          <w:shd w:val="clear" w:fill="ffffff"/>
        </w:rPr>
        <w:t>- ООО «Стойгрупп»  – на 975 тыс. рублей (миграция в налоговый орган № 5403 от 01.03.2024. Передана переплата на ЕНП в марте 2024 года в сумме 975 тыс. рублей).</w:t>
      </w:r>
    </w:p>
    <w:p>
      <w:pPr>
        <w:ind w:firstLine="720"/>
        <w:spacing/>
        <w:contextualSpacing/>
        <w:jc w:val="both"/>
        <w:widowControl/>
        <w:rPr>
          <w:color w:val="000000"/>
          <w:sz w:val="24"/>
          <w:szCs w:val="24"/>
        </w:rPr>
      </w:pPr>
      <w:r>
        <w:rPr>
          <w:b/>
          <w:bCs/>
          <w:i/>
          <w:iCs/>
          <w:color w:val="000000"/>
          <w:sz w:val="24"/>
          <w:szCs w:val="24"/>
        </w:rPr>
        <w:t>Налоги на имущество</w:t>
      </w:r>
      <w:r>
        <w:rPr>
          <w:color w:val="000000"/>
          <w:sz w:val="24"/>
          <w:szCs w:val="24"/>
        </w:rPr>
        <w:t xml:space="preserve"> - за  2025 год получено 82569,6 тыс. рублей. К плану поступление составило 100,9 %. По сравнению с уровнем прошлого года выполнение увеличилось на 21195,8 тыс. рублей или на 34,5 %.</w:t>
      </w:r>
    </w:p>
    <w:p>
      <w:pPr>
        <w:ind w:firstLine="720"/>
        <w:spacing/>
        <w:contextualSpacing/>
        <w:jc w:val="both"/>
        <w:widowControl/>
        <w:rPr>
          <w:color w:val="000000"/>
          <w:sz w:val="24"/>
          <w:szCs w:val="24"/>
        </w:rPr>
      </w:pPr>
      <w:r>
        <w:rPr>
          <w:b/>
          <w:bCs/>
          <w:i/>
          <w:iCs/>
          <w:color w:val="000000"/>
          <w:sz w:val="24"/>
          <w:szCs w:val="24"/>
        </w:rPr>
        <w:t>-транспортный налог</w:t>
      </w:r>
      <w:r>
        <w:rPr>
          <w:color w:val="000000"/>
          <w:sz w:val="24"/>
          <w:szCs w:val="24"/>
        </w:rPr>
        <w:t xml:space="preserve"> - получено 2554,3 тыс. рублей. К плану поступление налога составило 96,1 %. По сравнению с уровнем прошлого года выполнение составило 96,7 %. Норматив зачисления налога в местный бюджет 5 %.</w:t>
      </w:r>
    </w:p>
    <w:p>
      <w:pPr>
        <w:pStyle w:val="para121"/>
        <w:ind w:firstLine="709"/>
        <w:spacing/>
        <w:jc w:val="both"/>
        <w:rPr>
          <w:rFonts w:ascii="Times New Roman" w:hAnsi="Times New Roman" w:eastAsia="Times New Roman" w:cs="Times New Roman"/>
          <w:color w:val="000000"/>
          <w:sz w:val="24"/>
          <w:lang w:eastAsia="zh-cn"/>
        </w:rPr>
      </w:pPr>
      <w:r>
        <w:rPr>
          <w:rFonts w:ascii="Times New Roman" w:hAnsi="Times New Roman" w:eastAsia="Times New Roman" w:cs="Times New Roman"/>
          <w:b/>
          <w:bCs/>
          <w:i/>
          <w:iCs/>
          <w:color w:val="000000"/>
          <w:sz w:val="24"/>
        </w:rPr>
        <w:t xml:space="preserve">-земельный налог - </w:t>
      </w:r>
      <w:r>
        <w:rPr>
          <w:rFonts w:ascii="Times New Roman" w:hAnsi="Times New Roman" w:eastAsia="Times New Roman" w:cs="Times New Roman"/>
          <w:iCs/>
          <w:color w:val="000000"/>
          <w:sz w:val="24"/>
        </w:rPr>
        <w:t xml:space="preserve"> </w:t>
      </w:r>
      <w:r>
        <w:rPr>
          <w:rFonts w:ascii="Times New Roman" w:hAnsi="Times New Roman" w:eastAsia="Times New Roman" w:cs="Times New Roman"/>
          <w:color w:val="000000"/>
          <w:sz w:val="24"/>
          <w:lang w:eastAsia="zh-cn"/>
        </w:rPr>
        <w:t xml:space="preserve"> за  2025 год поступление – 58 879,9 тыс. рублей. К плану поступление налога составило 101,8 %. По сравнению с уровнем прошлого года поступление увеличилось на 16490,0 тыс. рублей или в 1,4 раза.</w:t>
      </w:r>
      <w:r>
        <w:rPr>
          <w:rFonts w:ascii="Times New Roman" w:hAnsi="Times New Roman" w:eastAsia="Times New Roman" w:cs="Times New Roman"/>
          <w:color w:val="000000"/>
          <w:sz w:val="24"/>
          <w:lang w:eastAsia="zh-cn"/>
        </w:rPr>
      </w:r>
    </w:p>
    <w:p>
      <w:pPr>
        <w:ind w:firstLine="709"/>
        <w:spacing/>
        <w:jc w:val="both"/>
        <w:rPr>
          <w:color w:val="000000"/>
          <w:sz w:val="24"/>
          <w:szCs w:val="24"/>
        </w:rPr>
      </w:pPr>
      <w:r>
        <w:rPr>
          <w:b/>
          <w:bCs/>
          <w:color w:val="000000"/>
          <w:sz w:val="24"/>
          <w:szCs w:val="24"/>
        </w:rPr>
        <w:t xml:space="preserve">Государственная пошлина - </w:t>
      </w:r>
      <w:r>
        <w:rPr>
          <w:color w:val="000000"/>
          <w:sz w:val="24"/>
          <w:szCs w:val="24"/>
        </w:rPr>
        <w:t xml:space="preserve">за  2025 год получено 36210,9 тыс. рублей. К плану поступление составило 98,6 %. По сравнению с уровнем прошлого года поступление увеличилось на 17611,6 тыс. рублей или в 1,9 раза, основная причина -  увеличение поступлений государственной пошлины по делам, рассматриваемым в судах общей юрисдикции, мировыми судьями, в связи с увеличением с сентября 2024 года ставок государственной пошлины. </w:t>
      </w:r>
    </w:p>
    <w:p>
      <w:pPr>
        <w:ind w:firstLine="720"/>
        <w:spacing/>
        <w:contextualSpacing/>
        <w:jc w:val="both"/>
        <w:widowControl/>
        <w:rPr>
          <w:color w:val="000000"/>
          <w:szCs w:val="28"/>
        </w:rPr>
      </w:pPr>
      <w:r>
        <w:rPr>
          <w:b/>
          <w:color w:val="000000"/>
          <w:sz w:val="24"/>
          <w:szCs w:val="24"/>
        </w:rPr>
        <w:t xml:space="preserve">Неналоговые поступления. </w:t>
      </w:r>
      <w:r>
        <w:rPr>
          <w:color w:val="000000"/>
          <w:sz w:val="24"/>
          <w:szCs w:val="24"/>
        </w:rPr>
        <w:t>За  2025 год получено</w:t>
      </w:r>
      <w:r>
        <w:rPr>
          <w:b/>
          <w:color w:val="000000"/>
          <w:sz w:val="24"/>
          <w:szCs w:val="24"/>
        </w:rPr>
        <w:t xml:space="preserve"> </w:t>
      </w:r>
      <w:r>
        <w:rPr>
          <w:color w:val="000000"/>
          <w:sz w:val="24"/>
          <w:szCs w:val="24"/>
        </w:rPr>
        <w:t>105 134,9 тыс. рублей. К плану поступление составило 107,7 %. По сравнению с уровнем прошлого года поступление увеличилось на 7 745,6 тыс. рублей или на 8,0 %</w:t>
      </w:r>
      <w:r>
        <w:rPr>
          <w:color w:val="000000"/>
          <w:szCs w:val="28"/>
        </w:rPr>
      </w:r>
    </w:p>
    <w:p>
      <w:pPr>
        <w:pStyle w:val="para28"/>
        <w:ind w:firstLine="709"/>
        <w:spacing w:line="240" w:lineRule="auto"/>
        <w:rPr>
          <w:color w:val="000000"/>
          <w:sz w:val="24"/>
          <w:szCs w:val="24"/>
        </w:rPr>
      </w:pPr>
      <w:r>
        <w:rPr>
          <w:b/>
          <w:color w:val="000000"/>
          <w:sz w:val="24"/>
          <w:szCs w:val="24"/>
        </w:rPr>
        <w:t xml:space="preserve">Плата за негативное воздействие на окружающую среду -   </w:t>
      </w:r>
      <w:r>
        <w:rPr>
          <w:color w:val="000000"/>
          <w:sz w:val="24"/>
          <w:szCs w:val="24"/>
        </w:rPr>
        <w:t>поступление – 3 958,0 тыс. рублей. К плану поступление составило 108,8 %. По сравнению с уровнем прошлого года увеличение на 299,2 тыс. рублей или на 8,2 %,</w:t>
      </w:r>
      <w:r>
        <w:rPr>
          <w:color w:val="000000"/>
          <w:sz w:val="24"/>
          <w:szCs w:val="24"/>
          <w:shd w:val="clear" w:fill="ffffff"/>
        </w:rPr>
        <w:t xml:space="preserve"> в связи с </w:t>
      </w:r>
      <w:r>
        <w:rPr>
          <w:rFonts w:eastAsia="Calibri"/>
          <w:color w:val="000000"/>
          <w:sz w:val="24"/>
          <w:szCs w:val="24"/>
          <w:shd w:val="clear" w:fill="ffffff"/>
          <w:lang w:eastAsia="en-us"/>
        </w:rPr>
        <w:t>увеличением поступлений по МП «КомСАХ», ООО «Юникс», ООО «Разрез Верхнетешский», АО «Кузнецкие ферросплавы».</w:t>
      </w:r>
      <w:r>
        <w:rPr>
          <w:color w:val="000000"/>
          <w:sz w:val="24"/>
          <w:szCs w:val="24"/>
        </w:rPr>
      </w:r>
    </w:p>
    <w:p>
      <w:pPr>
        <w:pStyle w:val="para28"/>
        <w:ind w:firstLine="709"/>
        <w:spacing w:line="240" w:lineRule="auto"/>
        <w:contextualSpacing/>
        <w:rPr>
          <w:i/>
          <w:iCs/>
          <w:color w:val="000000"/>
          <w:sz w:val="24"/>
          <w:szCs w:val="24"/>
        </w:rPr>
      </w:pPr>
      <w:r>
        <w:rPr>
          <w:b/>
          <w:color w:val="000000"/>
          <w:sz w:val="24"/>
          <w:szCs w:val="24"/>
        </w:rPr>
        <w:t xml:space="preserve">Доходы от оказания платных услуг и компенсация затрат государства - </w:t>
      </w:r>
      <w:r>
        <w:rPr>
          <w:color w:val="000000"/>
          <w:sz w:val="24"/>
          <w:szCs w:val="24"/>
        </w:rPr>
        <w:t>поступление – 8977,4 тыс. рублей. По сравнению с уровнем прошлого года поступление уменьшилось на 265,8 тыс. рублей или на 2,8 %</w:t>
      </w:r>
      <w:r>
        <w:rPr>
          <w:i/>
          <w:iCs/>
          <w:color w:val="000000"/>
          <w:sz w:val="24"/>
          <w:szCs w:val="24"/>
        </w:rPr>
        <w:t>:</w:t>
      </w:r>
      <w:r>
        <w:rPr>
          <w:i/>
          <w:iCs/>
          <w:color w:val="000000"/>
          <w:sz w:val="24"/>
          <w:szCs w:val="24"/>
        </w:rPr>
      </w:r>
    </w:p>
    <w:p>
      <w:pPr>
        <w:pStyle w:val="para28"/>
        <w:ind w:firstLine="709"/>
        <w:spacing w:line="240" w:lineRule="auto"/>
        <w:rPr>
          <w:rFonts w:eastAsia="Calibri"/>
          <w:color w:val="000000"/>
          <w:sz w:val="24"/>
          <w:szCs w:val="24"/>
          <w:lang w:eastAsia="en-us"/>
        </w:rPr>
      </w:pPr>
      <w:r>
        <w:rPr>
          <w:b/>
          <w:color w:val="000000"/>
          <w:sz w:val="24"/>
          <w:szCs w:val="24"/>
        </w:rPr>
        <w:t>Доходы от продажи материальных и нематериальных активов.</w:t>
      </w:r>
      <w:r>
        <w:rPr>
          <w:color w:val="000000"/>
          <w:sz w:val="24"/>
          <w:szCs w:val="24"/>
        </w:rPr>
        <w:t xml:space="preserve"> </w:t>
      </w:r>
      <w:r>
        <w:rPr>
          <w:rFonts w:eastAsia="Calibri"/>
          <w:color w:val="000000"/>
          <w:sz w:val="24"/>
          <w:szCs w:val="24"/>
          <w:lang w:eastAsia="en-us"/>
        </w:rPr>
        <w:t>Поступление составило – 6 079,9 тыс. рублей.</w:t>
      </w:r>
      <w:r>
        <w:rPr>
          <w:rFonts w:eastAsia="Calibri"/>
          <w:b/>
          <w:color w:val="000000"/>
          <w:sz w:val="24"/>
          <w:szCs w:val="24"/>
          <w:lang w:eastAsia="en-us"/>
        </w:rPr>
        <w:t xml:space="preserve"> </w:t>
      </w:r>
      <w:r>
        <w:rPr>
          <w:rFonts w:eastAsia="Calibri"/>
          <w:color w:val="000000"/>
          <w:sz w:val="24"/>
          <w:szCs w:val="24"/>
          <w:lang w:eastAsia="en-us"/>
        </w:rPr>
        <w:t xml:space="preserve">К плану выполнение составило 101,4 %. По сравнению с уровнем прошлого года поступление уменьшилось на 4598,8 тыс. рублей или на 43,1 %, </w:t>
      </w:r>
      <w:r>
        <w:rPr>
          <w:rFonts w:eastAsia="Calibri"/>
          <w:color w:val="000000"/>
          <w:sz w:val="24"/>
          <w:szCs w:val="24"/>
          <w:lang w:eastAsia="en-us"/>
        </w:rPr>
      </w:r>
    </w:p>
    <w:p>
      <w:pPr>
        <w:pStyle w:val="para26"/>
        <w:ind w:firstLine="709"/>
        <w:spacing/>
        <w:jc w:val="both"/>
        <w:rPr>
          <w:rFonts w:eastAsia="Calibri"/>
          <w:color w:val="000000"/>
          <w:sz w:val="24"/>
          <w:szCs w:val="24"/>
          <w:shd w:val="clear" w:fill="ffffff"/>
          <w:lang w:eastAsia="en-us"/>
        </w:rPr>
      </w:pPr>
      <w:r>
        <w:rPr>
          <w:b/>
          <w:bCs/>
          <w:color w:val="000000"/>
          <w:sz w:val="24"/>
          <w:szCs w:val="24"/>
          <w:lang w:eastAsia="en-us"/>
        </w:rPr>
        <w:tab/>
      </w:r>
      <w:r>
        <w:rPr>
          <w:rFonts w:eastAsia="Calibri"/>
          <w:b/>
          <w:bCs/>
          <w:color w:val="000000"/>
          <w:sz w:val="24"/>
          <w:szCs w:val="24"/>
          <w:lang w:eastAsia="en-us"/>
        </w:rPr>
        <w:t xml:space="preserve">Штрафы, санкции, возмещение ущерба. </w:t>
      </w:r>
      <w:r>
        <w:rPr>
          <w:rFonts w:eastAsia="Calibri"/>
          <w:color w:val="000000"/>
          <w:sz w:val="24"/>
          <w:szCs w:val="24"/>
          <w:lang w:eastAsia="en-us"/>
        </w:rPr>
        <w:t>Поступление составило 14 709,7 тыс. рублей. К плану поступление составило 104,8%. По сравнению с уровнем прошлого года поступление увеличилось в 3,6 раза или на 10614,5 тыс. рублей.</w:t>
      </w:r>
      <w:r>
        <w:rPr>
          <w:rFonts w:eastAsia="Calibri"/>
          <w:color w:val="000000"/>
          <w:sz w:val="24"/>
          <w:szCs w:val="24"/>
          <w:shd w:val="clear" w:fill="ffffff"/>
          <w:lang w:eastAsia="en-us"/>
        </w:rPr>
        <w:t xml:space="preserve"> Поступление платежей по административным штрафам, установленным Кодексом Российской Федерации об административных правонарушениях по администратору доходов 874 Управление по обеспечению деятельности Мировых судей в Кузбассе в сумме 1962,6 тыс. рублей, что по сравнению с уровнем прошлого года (2168,1 тыс. руб.) меньше на 205,5 тыс. рублей или в 1,6 раза. </w:t>
      </w:r>
      <w:r>
        <w:rPr>
          <w:rFonts w:eastAsia="Calibri"/>
          <w:color w:val="000000"/>
          <w:sz w:val="24"/>
          <w:szCs w:val="24"/>
          <w:shd w:val="clear" w:fill="ffffff"/>
          <w:lang w:eastAsia="en-us"/>
        </w:rPr>
      </w:r>
    </w:p>
    <w:p>
      <w:pPr>
        <w:pStyle w:val="para26"/>
        <w:ind w:firstLine="709"/>
        <w:spacing/>
        <w:jc w:val="both"/>
        <w:rPr>
          <w:rFonts w:eastAsia="Calibri"/>
          <w:color w:val="000000"/>
          <w:sz w:val="24"/>
          <w:szCs w:val="24"/>
          <w:lang w:eastAsia="en-us"/>
        </w:rPr>
      </w:pPr>
      <w:r>
        <w:rPr>
          <w:rFonts w:eastAsia="Calibri"/>
          <w:color w:val="000000"/>
          <w:sz w:val="24"/>
          <w:szCs w:val="24"/>
          <w:shd w:val="clear" w:fill="ffffff"/>
          <w:lang w:eastAsia="en-us"/>
        </w:rPr>
        <w:t>Поступление платежей в целях возмещения причинённого ущерба (убытков</w:t>
      </w:r>
      <w:r>
        <w:rPr>
          <w:rFonts w:eastAsia="Calibri"/>
          <w:color w:val="000000"/>
          <w:sz w:val="24"/>
          <w:szCs w:val="24"/>
          <w:lang w:eastAsia="en-us"/>
        </w:rPr>
        <w:t>):</w:t>
      </w:r>
    </w:p>
    <w:p>
      <w:pPr>
        <w:pStyle w:val="para26"/>
        <w:ind w:firstLine="709"/>
        <w:spacing/>
        <w:jc w:val="both"/>
        <w:rPr>
          <w:rFonts w:eastAsia="Calibri"/>
          <w:color w:val="000000"/>
          <w:sz w:val="24"/>
          <w:szCs w:val="24"/>
          <w:lang w:eastAsia="en-us"/>
        </w:rPr>
      </w:pPr>
      <w:r>
        <w:rPr>
          <w:rFonts w:eastAsia="Calibri"/>
          <w:color w:val="000000"/>
          <w:sz w:val="24"/>
          <w:szCs w:val="24"/>
          <w:lang w:eastAsia="en-us"/>
        </w:rPr>
        <w:t xml:space="preserve">- по администратору доходов 919 УЖКХ администрации Анжеро-Судженского городского округа по штрафам возмещение ущерба при возникновении страховых случаев, когда выгодоприобретателями выступают получатели средств бюджета городского округа поступление составило 1323,8 </w:t>
      </w:r>
      <w:r>
        <w:rPr>
          <w:rFonts w:eastAsia="Calibri"/>
          <w:color w:val="000000"/>
          <w:sz w:val="24"/>
          <w:szCs w:val="24"/>
          <w:shd w:val="clear" w:fill="ffffff"/>
          <w:lang w:eastAsia="en-us"/>
        </w:rPr>
        <w:t xml:space="preserve">тыс. рублей, что на 1150,7 </w:t>
      </w:r>
      <w:r>
        <w:rPr>
          <w:rFonts w:eastAsia="Calibri"/>
          <w:color w:val="000000"/>
          <w:sz w:val="24"/>
          <w:szCs w:val="24"/>
          <w:lang w:eastAsia="en-us"/>
        </w:rPr>
        <w:t xml:space="preserve">тыс. рублей </w:t>
      </w:r>
      <w:r>
        <w:rPr>
          <w:rFonts w:eastAsia="Calibri"/>
          <w:color w:val="000000"/>
          <w:sz w:val="24"/>
          <w:szCs w:val="24"/>
          <w:shd w:val="clear" w:fill="ffffff"/>
          <w:lang w:eastAsia="en-us"/>
        </w:rPr>
        <w:t>или  в 7,6 раз больше уровня прошлого года</w:t>
      </w:r>
      <w:r>
        <w:rPr>
          <w:rFonts w:eastAsia="Calibri"/>
          <w:color w:val="000000"/>
          <w:sz w:val="24"/>
          <w:szCs w:val="24"/>
          <w:lang w:eastAsia="en-us"/>
        </w:rPr>
        <w:t>, в связи с увеличением случаев причинения ущерба муниципальному имуществу (светофоры, столбы освещения, ограждения);</w:t>
      </w:r>
      <w:r>
        <w:rPr>
          <w:rFonts w:eastAsia="Calibri"/>
          <w:color w:val="000000"/>
          <w:sz w:val="24"/>
          <w:szCs w:val="24"/>
          <w:lang w:eastAsia="en-us"/>
        </w:rPr>
      </w:r>
    </w:p>
    <w:p>
      <w:pPr>
        <w:pStyle w:val="para26"/>
        <w:ind w:firstLine="709"/>
        <w:spacing/>
        <w:jc w:val="both"/>
        <w:rPr>
          <w:rFonts w:eastAsia="Calibri"/>
          <w:color w:val="000000"/>
          <w:sz w:val="24"/>
          <w:szCs w:val="24"/>
          <w:shd w:val="clear" w:fill="ffffff"/>
          <w:lang w:eastAsia="en-us"/>
        </w:rPr>
      </w:pPr>
      <w:r>
        <w:rPr>
          <w:rFonts w:eastAsia="Calibri"/>
          <w:color w:val="000000"/>
          <w:sz w:val="24"/>
          <w:szCs w:val="24"/>
          <w:lang w:eastAsia="en-us"/>
        </w:rPr>
        <w:t>- по администратору доходов 900 администрация Анжеро-Судженского  городского округа  возмещение ущерба муниципальному имуществу по уголовному делу поступило 500,0  тыс. рублей.</w:t>
      </w:r>
      <w:r>
        <w:rPr>
          <w:rFonts w:eastAsia="Calibri"/>
          <w:color w:val="000000"/>
          <w:sz w:val="24"/>
          <w:szCs w:val="24"/>
          <w:shd w:val="clear" w:fill="ffffff"/>
          <w:lang w:eastAsia="en-us"/>
        </w:rPr>
      </w:r>
    </w:p>
    <w:p>
      <w:pPr>
        <w:pStyle w:val="para26"/>
        <w:ind w:firstLine="709"/>
        <w:spacing/>
        <w:jc w:val="both"/>
        <w:rPr>
          <w:rFonts w:eastAsia="Calibri"/>
          <w:color w:val="000000"/>
          <w:sz w:val="24"/>
          <w:szCs w:val="24"/>
          <w:lang w:eastAsia="en-us"/>
        </w:rPr>
      </w:pPr>
      <w:r>
        <w:rPr>
          <w:rFonts w:eastAsia="Calibri"/>
          <w:color w:val="000000"/>
          <w:sz w:val="24"/>
          <w:szCs w:val="24"/>
          <w:shd w:val="clear" w:fill="ffffff"/>
          <w:lang w:eastAsia="en-us"/>
        </w:rPr>
        <w:t>Поступление платежей по искам о возмещении</w:t>
      </w:r>
      <w:r>
        <w:rPr>
          <w:rFonts w:eastAsia="Calibri"/>
          <w:color w:val="000000"/>
          <w:sz w:val="24"/>
          <w:szCs w:val="24"/>
          <w:lang w:eastAsia="en-us"/>
        </w:rPr>
        <w:t xml:space="preserve"> вреда, причиненного окружающей среде:</w:t>
      </w:r>
    </w:p>
    <w:p>
      <w:pPr>
        <w:pStyle w:val="para26"/>
        <w:ind w:firstLine="709"/>
        <w:spacing/>
        <w:jc w:val="both"/>
        <w:rPr>
          <w:rFonts w:eastAsia="Calibri"/>
          <w:color w:val="000000"/>
          <w:sz w:val="24"/>
          <w:szCs w:val="24"/>
          <w:shd w:val="clear" w:fill="ffffff"/>
          <w:lang w:eastAsia="en-us"/>
        </w:rPr>
      </w:pPr>
      <w:r>
        <w:rPr>
          <w:rFonts w:eastAsia="Calibri"/>
          <w:color w:val="000000"/>
          <w:sz w:val="24"/>
          <w:szCs w:val="24"/>
          <w:lang w:eastAsia="en-us"/>
        </w:rPr>
        <w:t xml:space="preserve">- </w:t>
      </w:r>
      <w:r>
        <w:rPr>
          <w:rFonts w:eastAsia="Calibri"/>
          <w:color w:val="000000"/>
          <w:sz w:val="24"/>
          <w:szCs w:val="24"/>
          <w:shd w:val="clear" w:fill="ffffff"/>
          <w:lang w:eastAsia="en-us"/>
        </w:rPr>
        <w:t>по</w:t>
      </w:r>
      <w:r>
        <w:rPr>
          <w:rFonts w:eastAsia="Calibri"/>
          <w:color w:val="000000"/>
          <w:sz w:val="24"/>
          <w:szCs w:val="24"/>
          <w:lang w:eastAsia="en-us"/>
        </w:rPr>
        <w:t xml:space="preserve"> администратору доходов 905 КУМИ администрации Анжеро-Судженского городского округа </w:t>
      </w:r>
      <w:r>
        <w:rPr>
          <w:rFonts w:eastAsia="Calibri"/>
          <w:color w:val="000000"/>
          <w:sz w:val="24"/>
          <w:szCs w:val="24"/>
          <w:shd w:val="clear" w:fill="ffffff"/>
          <w:lang w:eastAsia="en-us"/>
        </w:rPr>
        <w:t xml:space="preserve">в сумме 8522,4 тыс. рублей </w:t>
      </w:r>
      <w:r>
        <w:rPr>
          <w:rFonts w:eastAsia="Calibri"/>
          <w:color w:val="000000"/>
          <w:sz w:val="24"/>
          <w:szCs w:val="24"/>
          <w:lang w:eastAsia="en-us"/>
        </w:rPr>
        <w:t>от АО «Транснефть Западная Сибирь»</w:t>
      </w:r>
      <w:r>
        <w:rPr>
          <w:rFonts w:eastAsia="Calibri"/>
          <w:color w:val="000000"/>
          <w:sz w:val="24"/>
          <w:szCs w:val="24"/>
          <w:shd w:val="clear" w:fill="ffffff"/>
          <w:lang w:eastAsia="en-us"/>
        </w:rPr>
        <w:t>;</w:t>
      </w:r>
      <w:r>
        <w:rPr>
          <w:rFonts w:eastAsia="Calibri"/>
          <w:color w:val="000000"/>
          <w:sz w:val="24"/>
          <w:szCs w:val="24"/>
          <w:shd w:val="clear" w:fill="ffffff"/>
          <w:lang w:eastAsia="en-us"/>
        </w:rPr>
      </w:r>
    </w:p>
    <w:p>
      <w:pPr>
        <w:pStyle w:val="para26"/>
        <w:ind w:firstLine="709"/>
        <w:spacing/>
        <w:jc w:val="both"/>
        <w:rPr>
          <w:rFonts w:eastAsia="Calibri"/>
          <w:color w:val="000000"/>
          <w:sz w:val="24"/>
          <w:szCs w:val="24"/>
          <w:lang w:eastAsia="en-us"/>
        </w:rPr>
      </w:pPr>
      <w:r>
        <w:rPr>
          <w:rFonts w:eastAsia="Calibri"/>
          <w:color w:val="000000"/>
          <w:sz w:val="24"/>
          <w:szCs w:val="24"/>
          <w:shd w:val="clear" w:fill="ffffff"/>
          <w:lang w:eastAsia="en-us"/>
        </w:rPr>
        <w:t xml:space="preserve">- </w:t>
      </w:r>
      <w:r>
        <w:rPr>
          <w:rFonts w:eastAsia="Calibri"/>
          <w:color w:val="000000"/>
          <w:sz w:val="24"/>
          <w:szCs w:val="24"/>
          <w:lang w:eastAsia="en-us"/>
        </w:rPr>
        <w:t>по администратору доходов 048 Федеральная служба по надзору в сфере природопользования в сумме 1436,8 тыс. рублей по исполнительному листу о взыскании вреда, причинённого почвам с администрации Анжеро-Судженского городского округа.</w:t>
      </w:r>
    </w:p>
    <w:p>
      <w:pPr>
        <w:pStyle w:val="para28"/>
        <w:ind w:firstLine="709"/>
        <w:spacing w:line="240" w:lineRule="auto"/>
        <w:contextualSpacing/>
        <w:jc w:val="both"/>
        <w:rPr>
          <w:color w:val="000000"/>
          <w:sz w:val="24"/>
          <w:szCs w:val="24"/>
        </w:rPr>
      </w:pPr>
      <w:r>
        <w:rPr>
          <w:b/>
          <w:color w:val="000000"/>
          <w:sz w:val="24"/>
          <w:szCs w:val="24"/>
        </w:rPr>
        <w:t>Безвозмездные поступления от государственных (муниципальных) организаций в бюджеты городских округов.</w:t>
      </w:r>
      <w:r>
        <w:rPr>
          <w:color w:val="000000"/>
          <w:sz w:val="24"/>
          <w:szCs w:val="24"/>
        </w:rPr>
        <w:t xml:space="preserve">  Первоначальный план по безвозмездным поступлениям на 2025 год утверждён в сумме 0,0 тыс. рублей. </w:t>
      </w:r>
      <w:r>
        <w:rPr>
          <w:bCs/>
          <w:color w:val="000000"/>
          <w:sz w:val="24"/>
          <w:szCs w:val="24"/>
        </w:rPr>
        <w:t xml:space="preserve">Уточнённый план на 01.01.2026 года составил 15,0 тыс. рублей. </w:t>
      </w:r>
      <w:r>
        <w:rPr>
          <w:color w:val="000000"/>
          <w:sz w:val="24"/>
          <w:szCs w:val="24"/>
        </w:rPr>
        <w:t>Поступление на 01.01.2026 года составило 84,4 тыс. рублей по причине возврата учредителю  по представлению финансового управления администрации Анжеро-Судженского городского округа  от 03.04.2025 № 186 по МАОУ «СОШ № 1» 69,39 тыс. рублей - излишне начисленная заработная плата (межбюджетные трансферты), 15,0 тыс. рублей - нецелевое использование субсидии на выполнение госзадания (средства местного бюджета).</w:t>
      </w:r>
      <w:r>
        <w:rPr>
          <w:color w:val="000000"/>
          <w:sz w:val="24"/>
          <w:szCs w:val="24"/>
        </w:rPr>
      </w:r>
    </w:p>
    <w:p>
      <w:pPr>
        <w:ind w:firstLine="709"/>
        <w:spacing/>
        <w:contextualSpacing/>
        <w:jc w:val="center"/>
        <w:widowControl/>
        <w:rPr>
          <w:b/>
          <w:bCs/>
          <w:color w:val="000000"/>
          <w:sz w:val="24"/>
          <w:szCs w:val="24"/>
        </w:rPr>
      </w:pPr>
      <w:r>
        <w:rPr>
          <w:b/>
          <w:color w:val="000000"/>
          <w:sz w:val="24"/>
          <w:szCs w:val="24"/>
        </w:rPr>
        <w:t>6.3. Расходы бюджета</w:t>
      </w:r>
      <w:r>
        <w:rPr>
          <w:b/>
          <w:bCs/>
          <w:color w:val="000000"/>
          <w:sz w:val="24"/>
          <w:szCs w:val="24"/>
        </w:rPr>
      </w:r>
    </w:p>
    <w:p>
      <w:pPr>
        <w:ind w:firstLine="709"/>
        <w:spacing/>
        <w:contextualSpacing/>
        <w:jc w:val="center"/>
        <w:widowControl/>
        <w:rPr>
          <w:b/>
          <w:bCs/>
          <w:color w:val="000000"/>
          <w:sz w:val="24"/>
          <w:szCs w:val="24"/>
          <w:shd w:val="clear" w:fill="ffffff"/>
        </w:rPr>
      </w:pPr>
      <w:r>
        <w:rPr>
          <w:b/>
          <w:bCs/>
          <w:color w:val="000000"/>
          <w:sz w:val="24"/>
          <w:szCs w:val="24"/>
        </w:rPr>
        <w:t>Исполнение бюджета муниципального образования</w:t>
      </w:r>
      <w:r>
        <w:rPr>
          <w:b/>
          <w:bCs/>
          <w:color w:val="000000"/>
          <w:sz w:val="24"/>
          <w:szCs w:val="24"/>
          <w:shd w:val="clear" w:fill="ffffff"/>
        </w:rPr>
      </w:r>
    </w:p>
    <w:p>
      <w:pPr>
        <w:ind w:firstLine="709"/>
        <w:spacing/>
        <w:contextualSpacing/>
        <w:jc w:val="center"/>
        <w:widowControl/>
        <w:rPr>
          <w:b/>
          <w:bCs/>
          <w:color w:val="000000"/>
          <w:sz w:val="24"/>
          <w:szCs w:val="24"/>
          <w:shd w:val="clear" w:fill="ffffff"/>
        </w:rPr>
      </w:pPr>
      <w:r>
        <w:rPr>
          <w:b/>
          <w:bCs/>
          <w:color w:val="000000"/>
          <w:sz w:val="24"/>
          <w:szCs w:val="24"/>
          <w:shd w:val="clear" w:fill="ffffff"/>
        </w:rPr>
        <w:t>«Анжеро-Судженский городской округ» по расходам, тыс. руб.</w:t>
      </w:r>
    </w:p>
    <w:p>
      <w:pPr>
        <w:ind w:firstLine="709"/>
        <w:spacing/>
        <w:contextualSpacing/>
        <w:jc w:val="center"/>
        <w:widowControl/>
        <w:rPr>
          <w:b/>
          <w:bCs/>
          <w:color w:val="000000"/>
          <w:sz w:val="24"/>
          <w:szCs w:val="24"/>
          <w:shd w:val="clear" w:fill="ffffff"/>
        </w:rPr>
      </w:pPr>
      <w:r>
        <w:rPr>
          <w:b/>
          <w:bCs/>
          <w:color w:val="000000"/>
          <w:sz w:val="24"/>
          <w:szCs w:val="24"/>
          <w:shd w:val="clear" w:fill="ffffff"/>
        </w:rPr>
      </w:r>
    </w:p>
    <w:tbl>
      <w:tblPr>
        <w:tblStyle w:val="NormalTable"/>
        <w:name w:val="Таблица5"/>
        <w:tabOrder w:val="0"/>
        <w:jc w:val="left"/>
        <w:tblInd w:w="-255" w:type="dxa"/>
        <w:tblW w:w="10036" w:type="dxa"/>
        <w:pPr>
          <w:ind w:left="-255"/>
        </w:pPr>
        <w:tblLook w:val="0600" w:firstRow="0" w:lastRow="0" w:firstColumn="0" w:lastColumn="0" w:noHBand="1" w:noVBand="1"/>
      </w:tblPr>
      <w:tblGrid>
        <w:gridCol w:w="2526"/>
        <w:gridCol w:w="926"/>
        <w:gridCol w:w="1284"/>
        <w:gridCol w:w="1490"/>
        <w:gridCol w:w="1180"/>
        <w:gridCol w:w="1488"/>
        <w:gridCol w:w="1142"/>
      </w:tblGrid>
      <w:tr>
        <w:trPr>
          <w:tblHeader/>
          <w:cantSplit w:val="0"/>
          <w:trHeight w:val="250" w:hRule="atLeast"/>
        </w:trPr>
        <w:tc>
          <w:tcPr>
            <w:tcW w:w="2526"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ind w:left="-255"/>
              <w:spacing/>
              <w:contextualSpacing/>
              <w:jc w:val="center"/>
              <w:widowControl/>
              <w:rPr>
                <w:b/>
                <w:bCs/>
                <w:color w:val="000000"/>
              </w:rPr>
            </w:pPr>
            <w:r>
              <w:rPr>
                <w:b/>
                <w:bCs/>
                <w:color w:val="000000"/>
              </w:rPr>
              <w:t xml:space="preserve">Наименования </w:t>
            </w:r>
          </w:p>
          <w:p>
            <w:pPr>
              <w:spacing/>
              <w:contextualSpacing/>
              <w:jc w:val="center"/>
              <w:widowControl/>
              <w:rPr>
                <w:color w:val="000000"/>
              </w:rPr>
            </w:pPr>
            <w:r>
              <w:rPr>
                <w:b/>
                <w:bCs/>
                <w:color w:val="000000"/>
              </w:rPr>
              <w:t xml:space="preserve"> разделов БК</w:t>
            </w:r>
            <w:r>
              <w:rPr>
                <w:color w:val="000000"/>
              </w:rPr>
            </w:r>
          </w:p>
        </w:tc>
        <w:tc>
          <w:tcPr>
            <w:tcW w:w="4880" w:type="dxa"/>
            <w:gridSpan w:val="4"/>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spacing/>
              <w:contextualSpacing/>
              <w:jc w:val="center"/>
              <w:widowControl/>
              <w:rPr>
                <w:color w:val="000000"/>
              </w:rPr>
            </w:pPr>
            <w:r>
              <w:rPr>
                <w:b/>
                <w:bCs/>
                <w:color w:val="000000"/>
              </w:rPr>
              <w:t>2025 год</w:t>
            </w:r>
            <w:r>
              <w:rPr>
                <w:color w:val="000000"/>
              </w:rPr>
            </w:r>
          </w:p>
        </w:tc>
        <w:tc>
          <w:tcPr>
            <w:tcW w:w="1488"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spacing/>
              <w:contextualSpacing/>
              <w:jc w:val="center"/>
              <w:widowControl/>
              <w:rPr>
                <w:b/>
                <w:bCs/>
                <w:color w:val="000000"/>
              </w:rPr>
            </w:pPr>
            <w:r>
              <w:rPr>
                <w:b/>
                <w:bCs/>
                <w:color w:val="000000"/>
              </w:rPr>
              <w:t xml:space="preserve">      2024 год</w:t>
            </w:r>
          </w:p>
          <w:p>
            <w:pPr>
              <w:spacing/>
              <w:contextualSpacing/>
              <w:jc w:val="center"/>
              <w:widowControl/>
              <w:rPr>
                <w:color w:val="000000"/>
              </w:rPr>
            </w:pPr>
            <w:r>
              <w:rPr>
                <w:b/>
                <w:bCs/>
                <w:color w:val="000000"/>
              </w:rPr>
              <w:t>(исполнение)</w:t>
            </w:r>
            <w:r>
              <w:rPr>
                <w:color w:val="000000"/>
              </w:rPr>
            </w:r>
          </w:p>
        </w:tc>
        <w:tc>
          <w:tcPr>
            <w:tcW w:w="1142" w:type="dxa"/>
            <w:vMerge w:val="restart"/>
            <w:vAlign w:val="bottom"/>
            <w:shd w:val="none"/>
            <w:tcMar>
              <w:top w:w="0" w:type="dxa"/>
              <w:left w:w="108" w:type="dxa"/>
              <w:bottom w:w="0" w:type="dxa"/>
              <w:right w:w="108" w:type="dxa"/>
            </w:tcMar>
            <w:tcBorders>
              <w:top w:val="single" w:sz="4" w:space="0" w:color="000000" tmln="10, 20, 20, 0, 0"/>
              <w:left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spacing/>
              <w:contextualSpacing/>
              <w:jc w:val="center"/>
              <w:widowControl/>
              <w:rPr>
                <w:color w:val="000000"/>
              </w:rPr>
            </w:pPr>
            <w:r>
              <w:rPr>
                <w:b/>
                <w:bCs/>
                <w:color w:val="000000"/>
              </w:rPr>
              <w:t>% исполнения             к  2024 г.</w:t>
            </w:r>
            <w:r>
              <w:rPr>
                <w:color w:val="000000"/>
              </w:rPr>
            </w:r>
          </w:p>
        </w:tc>
      </w:tr>
      <w:tr>
        <w:trPr>
          <w:tblHeader/>
          <w:cantSplit w:val="0"/>
          <w:trHeight w:val="680" w:hRule="atLeast"/>
        </w:trPr>
        <w:tc>
          <w:tcPr>
            <w:tcW w:w="2526"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tc>
        <w:tc>
          <w:tcPr>
            <w:tcW w:w="926"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spacing/>
              <w:contextualSpacing/>
              <w:jc w:val="center"/>
              <w:widowControl/>
              <w:rPr>
                <w:color w:val="000000"/>
              </w:rPr>
            </w:pPr>
            <w:r>
              <w:rPr>
                <w:b/>
                <w:bCs/>
                <w:color w:val="000000"/>
              </w:rPr>
              <w:t xml:space="preserve">план </w:t>
            </w:r>
            <w:r>
              <w:rPr>
                <w:color w:val="000000"/>
              </w:rPr>
            </w:r>
          </w:p>
        </w:tc>
        <w:tc>
          <w:tcPr>
            <w:tcW w:w="1284"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spacing/>
              <w:contextualSpacing/>
              <w:jc w:val="center"/>
              <w:widowControl/>
              <w:rPr>
                <w:color w:val="000000"/>
              </w:rPr>
            </w:pPr>
            <w:r>
              <w:rPr>
                <w:b/>
                <w:bCs/>
                <w:color w:val="000000"/>
              </w:rPr>
              <w:t xml:space="preserve">исполнение </w:t>
            </w:r>
            <w:r>
              <w:rPr>
                <w:color w:val="000000"/>
              </w:rPr>
            </w:r>
          </w:p>
        </w:tc>
        <w:tc>
          <w:tcPr>
            <w:tcW w:w="149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spacing/>
              <w:contextualSpacing/>
              <w:jc w:val="center"/>
              <w:widowControl/>
              <w:rPr>
                <w:color w:val="000000"/>
              </w:rPr>
            </w:pPr>
            <w:r>
              <w:rPr>
                <w:b/>
                <w:bCs/>
                <w:color w:val="000000"/>
              </w:rPr>
              <w:t xml:space="preserve">% исполнения </w:t>
            </w:r>
            <w:r>
              <w:rPr>
                <w:color w:val="000000"/>
              </w:rPr>
            </w:r>
          </w:p>
        </w:tc>
        <w:tc>
          <w:tcPr>
            <w:tcW w:w="118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spacing/>
              <w:contextualSpacing/>
              <w:jc w:val="center"/>
              <w:widowControl/>
              <w:rPr>
                <w:color w:val="000000"/>
              </w:rPr>
            </w:pPr>
            <w:r>
              <w:rPr>
                <w:b/>
                <w:bCs/>
                <w:color w:val="000000"/>
              </w:rPr>
              <w:t>% в доле расходов</w:t>
            </w:r>
            <w:r>
              <w:rPr>
                <w:color w:val="000000"/>
              </w:rPr>
            </w:r>
          </w:p>
        </w:tc>
        <w:tc>
          <w:tcPr>
            <w:tcW w:w="1488" w:type="dxa"/>
            <w:vMerge/>
            <w:vAlign w:val="center"/>
            <w:shd w:val="none"/>
            <w:tcMar>
              <w:top w:w="0" w:type="dxa"/>
              <w:left w:w="108" w:type="dxa"/>
              <w:bottom w:w="0" w:type="dxa"/>
              <w:right w:w="108" w:type="dxa"/>
            </w:tcMar>
            <w:tcBorders>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tc>
        <w:tc>
          <w:tcPr>
            <w:tcW w:w="1142" w:type="dxa"/>
            <w:vMerge/>
            <w:vAlign w:val="bottom"/>
            <w:shd w:val="none"/>
            <w:tcMar>
              <w:top w:w="0" w:type="dxa"/>
              <w:left w:w="108" w:type="dxa"/>
              <w:bottom w:w="0" w:type="dxa"/>
              <w:right w:w="108" w:type="dxa"/>
            </w:tcMar>
            <w:tcBorders>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tc>
      </w:tr>
      <w:tr>
        <w:trPr>
          <w:tblHeader w:val="0"/>
          <w:cantSplit w:val="0"/>
          <w:trHeight w:val="289" w:hRule="atLeast"/>
        </w:trPr>
        <w:tc>
          <w:tcPr>
            <w:tcW w:w="2526"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Общегосударственные вопросы</w:t>
            </w:r>
          </w:p>
        </w:tc>
        <w:tc>
          <w:tcPr>
            <w:tcW w:w="926"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278,3</w:t>
            </w:r>
          </w:p>
        </w:tc>
        <w:tc>
          <w:tcPr>
            <w:tcW w:w="1284"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267,7</w:t>
            </w:r>
          </w:p>
        </w:tc>
        <w:tc>
          <w:tcPr>
            <w:tcW w:w="149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96,2</w:t>
            </w:r>
          </w:p>
        </w:tc>
        <w:tc>
          <w:tcPr>
            <w:tcW w:w="118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6,2</w:t>
            </w:r>
          </w:p>
        </w:tc>
        <w:tc>
          <w:tcPr>
            <w:tcW w:w="1488"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299,5</w:t>
            </w:r>
          </w:p>
        </w:tc>
        <w:tc>
          <w:tcPr>
            <w:tcW w:w="1142"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89,4</w:t>
            </w:r>
          </w:p>
        </w:tc>
      </w:tr>
      <w:tr>
        <w:trPr>
          <w:tblHeader w:val="0"/>
          <w:cantSplit w:val="0"/>
          <w:trHeight w:val="163" w:hRule="atLeast"/>
        </w:trPr>
        <w:tc>
          <w:tcPr>
            <w:tcW w:w="2526"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Национальная безопасность и правоохранительная деятельность</w:t>
            </w:r>
          </w:p>
        </w:tc>
        <w:tc>
          <w:tcPr>
            <w:tcW w:w="926"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20,5</w:t>
            </w:r>
          </w:p>
        </w:tc>
        <w:tc>
          <w:tcPr>
            <w:tcW w:w="1284"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19,8</w:t>
            </w:r>
          </w:p>
        </w:tc>
        <w:tc>
          <w:tcPr>
            <w:tcW w:w="149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96,6</w:t>
            </w:r>
          </w:p>
        </w:tc>
        <w:tc>
          <w:tcPr>
            <w:tcW w:w="118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0,5</w:t>
            </w:r>
          </w:p>
        </w:tc>
        <w:tc>
          <w:tcPr>
            <w:tcW w:w="1488"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22,3</w:t>
            </w:r>
          </w:p>
        </w:tc>
        <w:tc>
          <w:tcPr>
            <w:tcW w:w="1142"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88,8</w:t>
            </w:r>
          </w:p>
        </w:tc>
      </w:tr>
      <w:tr>
        <w:trPr>
          <w:tblHeader w:val="0"/>
          <w:cantSplit w:val="0"/>
          <w:trHeight w:val="153" w:hRule="atLeast"/>
        </w:trPr>
        <w:tc>
          <w:tcPr>
            <w:tcW w:w="252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Национальная экономика</w:t>
            </w:r>
          </w:p>
        </w:tc>
        <w:tc>
          <w:tcPr>
            <w:tcW w:w="9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830,7</w:t>
            </w:r>
          </w:p>
        </w:tc>
        <w:tc>
          <w:tcPr>
            <w:tcW w:w="128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805,2</w:t>
            </w:r>
          </w:p>
        </w:tc>
        <w:tc>
          <w:tcPr>
            <w:tcW w:w="149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96,9</w:t>
            </w:r>
          </w:p>
        </w:tc>
        <w:tc>
          <w:tcPr>
            <w:tcW w:w="11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18,8</w:t>
            </w:r>
          </w:p>
        </w:tc>
        <w:tc>
          <w:tcPr>
            <w:tcW w:w="148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291,0</w:t>
            </w:r>
          </w:p>
        </w:tc>
        <w:tc>
          <w:tcPr>
            <w:tcW w:w="114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r>
          </w:p>
        </w:tc>
      </w:tr>
      <w:tr>
        <w:trPr>
          <w:tblHeader w:val="0"/>
          <w:cantSplit w:val="0"/>
          <w:trHeight w:val="198" w:hRule="atLeast"/>
        </w:trPr>
        <w:tc>
          <w:tcPr>
            <w:tcW w:w="252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Жилищно-коммунальное хозяйство</w:t>
            </w:r>
          </w:p>
        </w:tc>
        <w:tc>
          <w:tcPr>
            <w:tcW w:w="926"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223,6</w:t>
            </w:r>
          </w:p>
        </w:tc>
        <w:tc>
          <w:tcPr>
            <w:tcW w:w="1284"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195,5</w:t>
            </w:r>
          </w:p>
        </w:tc>
        <w:tc>
          <w:tcPr>
            <w:tcW w:w="1490"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87,4</w:t>
            </w:r>
          </w:p>
        </w:tc>
        <w:tc>
          <w:tcPr>
            <w:tcW w:w="1180"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4,6</w:t>
            </w:r>
          </w:p>
        </w:tc>
        <w:tc>
          <w:tcPr>
            <w:tcW w:w="1488"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1054,7</w:t>
            </w:r>
          </w:p>
        </w:tc>
        <w:tc>
          <w:tcPr>
            <w:tcW w:w="1142"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18,5</w:t>
            </w:r>
          </w:p>
        </w:tc>
      </w:tr>
      <w:tr>
        <w:trPr>
          <w:tblHeader w:val="0"/>
          <w:cantSplit w:val="0"/>
          <w:trHeight w:val="198" w:hRule="atLeast"/>
        </w:trPr>
        <w:tc>
          <w:tcPr>
            <w:tcW w:w="252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Охрана окружающей среды</w:t>
            </w:r>
          </w:p>
        </w:tc>
        <w:tc>
          <w:tcPr>
            <w:tcW w:w="926"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2,6</w:t>
            </w:r>
          </w:p>
        </w:tc>
        <w:tc>
          <w:tcPr>
            <w:tcW w:w="1284"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2,6</w:t>
            </w:r>
          </w:p>
        </w:tc>
        <w:tc>
          <w:tcPr>
            <w:tcW w:w="1490"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100</w:t>
            </w:r>
          </w:p>
        </w:tc>
        <w:tc>
          <w:tcPr>
            <w:tcW w:w="1180"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0,1</w:t>
            </w:r>
          </w:p>
        </w:tc>
        <w:tc>
          <w:tcPr>
            <w:tcW w:w="1488"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2</w:t>
            </w:r>
          </w:p>
        </w:tc>
        <w:tc>
          <w:tcPr>
            <w:tcW w:w="1142"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130</w:t>
            </w:r>
          </w:p>
        </w:tc>
      </w:tr>
      <w:tr>
        <w:trPr>
          <w:tblHeader w:val="0"/>
          <w:cantSplit w:val="0"/>
          <w:trHeight w:val="70" w:hRule="atLeast"/>
        </w:trPr>
        <w:tc>
          <w:tcPr>
            <w:tcW w:w="252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Образование</w:t>
            </w:r>
          </w:p>
        </w:tc>
        <w:tc>
          <w:tcPr>
            <w:tcW w:w="9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2003,8</w:t>
            </w:r>
          </w:p>
        </w:tc>
        <w:tc>
          <w:tcPr>
            <w:tcW w:w="128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1966,0</w:t>
            </w:r>
          </w:p>
        </w:tc>
        <w:tc>
          <w:tcPr>
            <w:tcW w:w="149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98,1</w:t>
            </w:r>
          </w:p>
        </w:tc>
        <w:tc>
          <w:tcPr>
            <w:tcW w:w="11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45,9</w:t>
            </w:r>
          </w:p>
        </w:tc>
        <w:tc>
          <w:tcPr>
            <w:tcW w:w="148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2044,0</w:t>
            </w:r>
          </w:p>
        </w:tc>
        <w:tc>
          <w:tcPr>
            <w:tcW w:w="114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96,2</w:t>
            </w:r>
          </w:p>
        </w:tc>
      </w:tr>
      <w:tr>
        <w:trPr>
          <w:tblHeader w:val="0"/>
          <w:cantSplit w:val="0"/>
          <w:trHeight w:val="164" w:hRule="atLeast"/>
        </w:trPr>
        <w:tc>
          <w:tcPr>
            <w:tcW w:w="252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 xml:space="preserve">Культура, кинематография </w:t>
            </w:r>
          </w:p>
        </w:tc>
        <w:tc>
          <w:tcPr>
            <w:tcW w:w="926"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169,7</w:t>
            </w:r>
          </w:p>
        </w:tc>
        <w:tc>
          <w:tcPr>
            <w:tcW w:w="1284"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165,9</w:t>
            </w:r>
          </w:p>
        </w:tc>
        <w:tc>
          <w:tcPr>
            <w:tcW w:w="1490"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97,8</w:t>
            </w:r>
          </w:p>
        </w:tc>
        <w:tc>
          <w:tcPr>
            <w:tcW w:w="1180"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3,9</w:t>
            </w:r>
          </w:p>
        </w:tc>
        <w:tc>
          <w:tcPr>
            <w:tcW w:w="1488"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172,6</w:t>
            </w:r>
          </w:p>
        </w:tc>
        <w:tc>
          <w:tcPr>
            <w:tcW w:w="1142"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96,1</w:t>
            </w:r>
          </w:p>
        </w:tc>
      </w:tr>
      <w:tr>
        <w:trPr>
          <w:tblHeader w:val="0"/>
          <w:cantSplit w:val="0"/>
          <w:trHeight w:val="164" w:hRule="atLeast"/>
        </w:trPr>
        <w:tc>
          <w:tcPr>
            <w:tcW w:w="252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Социальная политика</w:t>
            </w:r>
          </w:p>
        </w:tc>
        <w:tc>
          <w:tcPr>
            <w:tcW w:w="926"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737,1</w:t>
            </w:r>
          </w:p>
        </w:tc>
        <w:tc>
          <w:tcPr>
            <w:tcW w:w="1284"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723,8</w:t>
            </w:r>
          </w:p>
        </w:tc>
        <w:tc>
          <w:tcPr>
            <w:tcW w:w="1490"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98,2</w:t>
            </w:r>
          </w:p>
        </w:tc>
        <w:tc>
          <w:tcPr>
            <w:tcW w:w="1180"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16,9</w:t>
            </w:r>
          </w:p>
        </w:tc>
        <w:tc>
          <w:tcPr>
            <w:tcW w:w="1488"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726,8</w:t>
            </w:r>
          </w:p>
        </w:tc>
        <w:tc>
          <w:tcPr>
            <w:tcW w:w="1142"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99,6</w:t>
            </w:r>
          </w:p>
        </w:tc>
      </w:tr>
      <w:tr>
        <w:trPr>
          <w:tblHeader w:val="0"/>
          <w:cantSplit w:val="0"/>
          <w:trHeight w:val="164" w:hRule="atLeast"/>
        </w:trPr>
        <w:tc>
          <w:tcPr>
            <w:tcW w:w="252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Физическая культура и спорт</w:t>
            </w:r>
          </w:p>
        </w:tc>
        <w:tc>
          <w:tcPr>
            <w:tcW w:w="926"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137,7</w:t>
            </w:r>
          </w:p>
        </w:tc>
        <w:tc>
          <w:tcPr>
            <w:tcW w:w="1284"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136,7</w:t>
            </w:r>
          </w:p>
        </w:tc>
        <w:tc>
          <w:tcPr>
            <w:tcW w:w="1490"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99,3</w:t>
            </w:r>
          </w:p>
        </w:tc>
        <w:tc>
          <w:tcPr>
            <w:tcW w:w="1180"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3,2</w:t>
            </w:r>
          </w:p>
        </w:tc>
        <w:tc>
          <w:tcPr>
            <w:tcW w:w="1488"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139,1</w:t>
            </w:r>
          </w:p>
        </w:tc>
        <w:tc>
          <w:tcPr>
            <w:tcW w:w="1142"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98,3</w:t>
            </w:r>
          </w:p>
        </w:tc>
      </w:tr>
      <w:tr>
        <w:trPr>
          <w:tblHeader w:val="0"/>
          <w:cantSplit w:val="0"/>
          <w:trHeight w:val="164" w:hRule="atLeast"/>
        </w:trPr>
        <w:tc>
          <w:tcPr>
            <w:tcW w:w="252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Обслуживание государственного и муниципального долга</w:t>
            </w:r>
          </w:p>
        </w:tc>
        <w:tc>
          <w:tcPr>
            <w:tcW w:w="926"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0,1</w:t>
            </w:r>
          </w:p>
        </w:tc>
        <w:tc>
          <w:tcPr>
            <w:tcW w:w="1284"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0,1</w:t>
            </w:r>
          </w:p>
        </w:tc>
        <w:tc>
          <w:tcPr>
            <w:tcW w:w="1490"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0</w:t>
            </w:r>
          </w:p>
        </w:tc>
        <w:tc>
          <w:tcPr>
            <w:tcW w:w="1180"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0</w:t>
            </w:r>
          </w:p>
        </w:tc>
        <w:tc>
          <w:tcPr>
            <w:tcW w:w="1488"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0,1</w:t>
            </w:r>
          </w:p>
        </w:tc>
        <w:tc>
          <w:tcPr>
            <w:tcW w:w="1142"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color w:val="000000"/>
              </w:rPr>
            </w:pPr>
            <w:r>
              <w:rPr>
                <w:color w:val="000000"/>
              </w:rPr>
              <w:t>0</w:t>
            </w:r>
          </w:p>
        </w:tc>
      </w:tr>
      <w:tr>
        <w:trPr>
          <w:tblHeader w:val="0"/>
          <w:cantSplit w:val="0"/>
          <w:trHeight w:val="70" w:hRule="atLeast"/>
        </w:trPr>
        <w:tc>
          <w:tcPr>
            <w:tcW w:w="2526"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Всего</w:t>
            </w:r>
          </w:p>
        </w:tc>
        <w:tc>
          <w:tcPr>
            <w:tcW w:w="926"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4 404,1</w:t>
            </w:r>
          </w:p>
        </w:tc>
        <w:tc>
          <w:tcPr>
            <w:tcW w:w="1284"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4 283,3</w:t>
            </w:r>
          </w:p>
        </w:tc>
        <w:tc>
          <w:tcPr>
            <w:tcW w:w="149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97,3</w:t>
            </w:r>
          </w:p>
        </w:tc>
        <w:tc>
          <w:tcPr>
            <w:tcW w:w="118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100,0</w:t>
            </w:r>
          </w:p>
        </w:tc>
        <w:tc>
          <w:tcPr>
            <w:tcW w:w="1488"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4 752,1</w:t>
            </w:r>
          </w:p>
        </w:tc>
        <w:tc>
          <w:tcPr>
            <w:tcW w:w="1142"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1060902" protected="0"/>
          </w:tcPr>
          <w:p>
            <w:pPr>
              <w:rPr>
                <w:b/>
                <w:bCs/>
                <w:color w:val="000000"/>
              </w:rPr>
            </w:pPr>
            <w:r>
              <w:rPr>
                <w:b/>
                <w:bCs/>
                <w:color w:val="000000"/>
              </w:rPr>
              <w:t>90,1</w:t>
            </w:r>
          </w:p>
        </w:tc>
      </w:tr>
    </w:tbl>
    <w:p>
      <w:pPr>
        <w:ind w:firstLine="708"/>
        <w:spacing/>
        <w:jc w:val="both"/>
        <w:rPr>
          <w:color w:val="000000"/>
          <w:sz w:val="24"/>
          <w:szCs w:val="24"/>
        </w:rPr>
      </w:pPr>
      <w:r>
        <w:rPr>
          <w:color w:val="000000"/>
          <w:sz w:val="24"/>
          <w:szCs w:val="24"/>
        </w:rPr>
        <w:t xml:space="preserve">За 2025 год на расходы из бюджета муниципального образования «Анжеро-Судженский городской округ Кемеровской области - Кузбасса» (далее - местный бюджет) направлено на 9,9 % меньше, чем в аналогичном периоде прошлого года – 4283,3 млн  рублей (2024 г. - 4752,1 млн  рублей), и составляет 97,3 % планируемой на год суммы. </w:t>
      </w:r>
    </w:p>
    <w:p>
      <w:pPr>
        <w:ind w:firstLine="709"/>
        <w:spacing/>
        <w:jc w:val="both"/>
        <w:rPr>
          <w:color w:val="000000"/>
          <w:sz w:val="24"/>
          <w:szCs w:val="24"/>
        </w:rPr>
      </w:pPr>
      <w:r>
        <w:rPr>
          <w:color w:val="000000"/>
          <w:sz w:val="24"/>
          <w:szCs w:val="24"/>
        </w:rPr>
        <w:t>По разделам израсходовано:</w:t>
      </w:r>
    </w:p>
    <w:p>
      <w:pPr>
        <w:ind w:firstLine="709"/>
        <w:spacing/>
        <w:jc w:val="both"/>
        <w:rPr>
          <w:color w:val="000000"/>
          <w:sz w:val="24"/>
          <w:szCs w:val="24"/>
        </w:rPr>
      </w:pPr>
      <w:r>
        <w:rPr>
          <w:color w:val="000000"/>
          <w:sz w:val="24"/>
          <w:szCs w:val="24"/>
        </w:rPr>
        <w:t xml:space="preserve">- на решение </w:t>
      </w:r>
      <w:r>
        <w:rPr>
          <w:i/>
          <w:color w:val="000000"/>
          <w:sz w:val="24"/>
          <w:szCs w:val="24"/>
        </w:rPr>
        <w:t>«Общегосударственные вопросы»</w:t>
      </w:r>
      <w:r>
        <w:rPr>
          <w:color w:val="000000"/>
          <w:sz w:val="24"/>
          <w:szCs w:val="24"/>
        </w:rPr>
        <w:t xml:space="preserve"> - 267,7 млн  рублей – 96,2 % от планируемой на год суммы и на 10,6 % меньше, чем в 2024 году. В 2024 году за счёт дотации на сбалансированность бюджета  был приобретён Камаз для сноса ветхого жилья в МБУ РЭС стоимостью 14,1 млн. рублей, в 2025 году техника не приобреталась. На содержание муниципального имущества в 2025 году было направлено на 5,3 млн рублей меньше, чем в 2024 году. Также в 2025 году на противопожарные мероприятия было направлено на 4,1 млн рублей больше, чем в 2025 году. </w:t>
      </w:r>
    </w:p>
    <w:p>
      <w:pPr>
        <w:ind w:firstLine="709"/>
        <w:spacing/>
        <w:jc w:val="both"/>
        <w:rPr>
          <w:color w:val="000000"/>
          <w:sz w:val="24"/>
          <w:szCs w:val="24"/>
        </w:rPr>
      </w:pPr>
      <w:r>
        <w:rPr>
          <w:color w:val="000000"/>
          <w:sz w:val="24"/>
          <w:szCs w:val="24"/>
        </w:rPr>
        <w:t xml:space="preserve">- на раздел </w:t>
      </w:r>
      <w:r>
        <w:rPr>
          <w:i/>
          <w:color w:val="000000"/>
          <w:sz w:val="24"/>
          <w:szCs w:val="24"/>
        </w:rPr>
        <w:t>«Национальная безопасность и правоохранительная деятельность»</w:t>
      </w:r>
      <w:r>
        <w:rPr>
          <w:color w:val="000000"/>
          <w:sz w:val="24"/>
          <w:szCs w:val="24"/>
        </w:rPr>
        <w:t xml:space="preserve"> направлено 19,8 млн  рублей – 96,6 % запланированного на год финансирования, 88,8 % к уровню прошлого года или на 2,3 млн  рублей меньше объёма прошлого года. Уменьшение связано с исполнением по субсидии на модернизацию системы оповещения в 2024 году. Также увеличены расходы на выплату ФОТ с 10,4 млн  рублей в 2024 году до 10,9 млн  рублей в 2025 году (повышение на 7,7 % с 01.03.2024 г.);</w:t>
      </w:r>
    </w:p>
    <w:p>
      <w:pPr>
        <w:ind w:firstLine="709"/>
        <w:spacing/>
        <w:jc w:val="both"/>
        <w:rPr>
          <w:color w:val="000000"/>
          <w:sz w:val="24"/>
          <w:szCs w:val="24"/>
        </w:rPr>
      </w:pPr>
      <w:r>
        <w:rPr>
          <w:color w:val="000000"/>
          <w:sz w:val="24"/>
          <w:szCs w:val="24"/>
        </w:rPr>
        <w:t xml:space="preserve">- на финансирование вопросов </w:t>
      </w:r>
      <w:r>
        <w:rPr>
          <w:i/>
          <w:color w:val="000000"/>
          <w:sz w:val="24"/>
          <w:szCs w:val="24"/>
        </w:rPr>
        <w:t>«Национальная экономика»</w:t>
      </w:r>
      <w:r>
        <w:rPr>
          <w:color w:val="000000"/>
          <w:sz w:val="24"/>
          <w:szCs w:val="24"/>
        </w:rPr>
        <w:t xml:space="preserve"> в 2025 году направлено 96,9 % от годового объёма средств – 805,2 млн  рублей, что больше аналогичного периода 2024 года на 514,2 млн рублей. Повышение в связи с переходом расходов на «Компенсация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 в части отопления в данный раздел из раздела 05 «Жилищно-коммунальное хозяйство», исполнение за  2025 год составило 622,6 млн  рублей;</w:t>
      </w:r>
    </w:p>
    <w:p>
      <w:pPr>
        <w:ind w:firstLine="708"/>
        <w:spacing/>
        <w:jc w:val="both"/>
        <w:rPr>
          <w:color w:val="000000"/>
          <w:sz w:val="24"/>
          <w:szCs w:val="24"/>
        </w:rPr>
      </w:pPr>
      <w:r>
        <w:rPr>
          <w:color w:val="000000"/>
          <w:sz w:val="24"/>
          <w:szCs w:val="24"/>
        </w:rPr>
        <w:t xml:space="preserve">- на </w:t>
      </w:r>
      <w:r>
        <w:rPr>
          <w:i/>
          <w:color w:val="000000"/>
          <w:sz w:val="24"/>
          <w:szCs w:val="24"/>
        </w:rPr>
        <w:t>«Жилищно-коммунальное хозяйство»</w:t>
      </w:r>
      <w:r>
        <w:rPr>
          <w:color w:val="000000"/>
          <w:sz w:val="24"/>
          <w:szCs w:val="24"/>
        </w:rPr>
        <w:t xml:space="preserve"> за прошедший период направлено 87,4 % запланированных на год средств – 195,5 млн  рублей,  на 81,5 % меньше чем в прошлом году. </w:t>
      </w:r>
    </w:p>
    <w:p>
      <w:pPr>
        <w:ind w:firstLine="708"/>
        <w:spacing/>
        <w:jc w:val="both"/>
        <w:rPr>
          <w:color w:val="000000"/>
          <w:sz w:val="24"/>
          <w:szCs w:val="24"/>
        </w:rPr>
      </w:pPr>
      <w:r>
        <w:rPr>
          <w:color w:val="000000"/>
          <w:sz w:val="24"/>
          <w:szCs w:val="24"/>
        </w:rPr>
        <w:t>Снижение произошло за счёт перехода расходов на отопление по субвенции  «Компенсация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 в раздел 04 «Национальная экономика», кроме того снижены на 27,6 млн рублей расходы на исполнение судебных актов, данные расходы производятся по фактически поступившим исполнительным листам;</w:t>
      </w:r>
    </w:p>
    <w:p>
      <w:pPr>
        <w:spacing/>
        <w:jc w:val="both"/>
        <w:rPr>
          <w:color w:val="000000"/>
          <w:sz w:val="24"/>
          <w:szCs w:val="24"/>
        </w:rPr>
      </w:pPr>
      <w:r>
        <w:rPr>
          <w:color w:val="000000"/>
          <w:sz w:val="24"/>
          <w:szCs w:val="24"/>
        </w:rPr>
        <w:tab/>
        <w:t xml:space="preserve">- расходы по разделу </w:t>
      </w:r>
      <w:r>
        <w:rPr>
          <w:i/>
          <w:color w:val="000000"/>
          <w:sz w:val="24"/>
          <w:szCs w:val="24"/>
        </w:rPr>
        <w:t>«Образование»</w:t>
      </w:r>
      <w:r>
        <w:rPr>
          <w:color w:val="000000"/>
          <w:sz w:val="24"/>
          <w:szCs w:val="24"/>
        </w:rPr>
        <w:t xml:space="preserve"> снизились на 3,8 % к уровню  прошлого года   и  составили 1966,0 млн  рублей – 98,1 % годового значения. </w:t>
      </w:r>
    </w:p>
    <w:p>
      <w:pPr>
        <w:ind w:firstLine="709"/>
        <w:spacing/>
        <w:jc w:val="both"/>
        <w:rPr>
          <w:color w:val="000000"/>
          <w:sz w:val="24"/>
          <w:szCs w:val="24"/>
        </w:rPr>
      </w:pPr>
      <w:r>
        <w:rPr>
          <w:color w:val="000000"/>
          <w:sz w:val="24"/>
          <w:szCs w:val="24"/>
        </w:rPr>
        <w:t xml:space="preserve">- по разделу </w:t>
      </w:r>
      <w:r>
        <w:rPr>
          <w:i/>
          <w:color w:val="000000"/>
          <w:sz w:val="24"/>
          <w:szCs w:val="24"/>
        </w:rPr>
        <w:t>«Культура»</w:t>
      </w:r>
      <w:r>
        <w:rPr>
          <w:color w:val="000000"/>
          <w:sz w:val="24"/>
          <w:szCs w:val="24"/>
        </w:rPr>
        <w:t xml:space="preserve"> расходы составили 96,1 % от  периода 2024 года – 165,9 млн  рублей или 97,8 % от годового объёма;</w:t>
      </w:r>
    </w:p>
    <w:p>
      <w:pPr>
        <w:ind w:firstLine="709"/>
        <w:spacing/>
        <w:jc w:val="both"/>
        <w:rPr>
          <w:color w:val="000000"/>
          <w:sz w:val="24"/>
          <w:szCs w:val="24"/>
        </w:rPr>
      </w:pPr>
      <w:r>
        <w:rPr>
          <w:color w:val="000000"/>
          <w:sz w:val="24"/>
          <w:szCs w:val="24"/>
        </w:rPr>
        <w:t xml:space="preserve">- расходы по разделу </w:t>
      </w:r>
      <w:r>
        <w:rPr>
          <w:i/>
          <w:color w:val="000000"/>
          <w:sz w:val="24"/>
          <w:szCs w:val="24"/>
        </w:rPr>
        <w:t>«Социальная политика»</w:t>
      </w:r>
      <w:r>
        <w:rPr>
          <w:color w:val="000000"/>
          <w:sz w:val="24"/>
          <w:szCs w:val="24"/>
        </w:rPr>
        <w:t xml:space="preserve"> составили 98,2 % от запланированных годовых затрат – 723,8 млн  рублей, по сравнению с 2024 годом расходы снизились на 0,4 %. </w:t>
      </w:r>
    </w:p>
    <w:p>
      <w:pPr>
        <w:ind w:firstLine="709"/>
        <w:spacing/>
        <w:jc w:val="both"/>
        <w:rPr>
          <w:color w:val="000000"/>
          <w:sz w:val="24"/>
          <w:szCs w:val="24"/>
        </w:rPr>
      </w:pPr>
      <w:r>
        <w:rPr>
          <w:color w:val="000000"/>
          <w:sz w:val="24"/>
          <w:szCs w:val="24"/>
        </w:rPr>
        <w:t xml:space="preserve">- по разделу </w:t>
      </w:r>
      <w:r>
        <w:rPr>
          <w:i/>
          <w:color w:val="000000"/>
          <w:sz w:val="24"/>
          <w:szCs w:val="24"/>
        </w:rPr>
        <w:t>«Физическая культура и спорт»</w:t>
      </w:r>
      <w:r>
        <w:rPr>
          <w:color w:val="000000"/>
          <w:sz w:val="24"/>
          <w:szCs w:val="24"/>
        </w:rPr>
        <w:t xml:space="preserve"> расходы сократились на 1,7 % и составили 136,7 млн  рублей, 99,3 % планируемого на год объёма, в т.ч. увеличены расходы по ФОТ с 121,0 млн рублей в 2024 году до 128,9 млн рублей в 2025 году (повышение на  7,7 % с 01.03.2024 г.). </w:t>
      </w:r>
    </w:p>
    <w:p>
      <w:pPr>
        <w:spacing/>
        <w:jc w:val="both"/>
        <w:rPr>
          <w:color w:val="000000"/>
          <w:sz w:val="24"/>
          <w:szCs w:val="24"/>
        </w:rPr>
      </w:pPr>
      <w:r>
        <w:rPr>
          <w:color w:val="000000"/>
          <w:sz w:val="24"/>
          <w:szCs w:val="24"/>
        </w:rPr>
        <w:tab/>
        <w:t>Наибольшая доля расходов местного бюджета приходится на образование (45,9 %), национальную экономику (18,8 %), социальную политику (16,9 %),  общегосударственные вопросы (6,2 %), жилищно-коммунальное хозяйство (4,6 %), культуру (3,9 %),  и далее идут: физкультура (3,2 %), менее 1% в доле расходов приходится на национальную безопасность и правоохранительную деятельность (0,5 %).</w:t>
      </w:r>
    </w:p>
    <w:p>
      <w:pPr>
        <w:pStyle w:val="para25"/>
        <w:spacing/>
        <w:jc w:val="both"/>
        <w:rPr>
          <w:color w:val="000000"/>
          <w:sz w:val="24"/>
          <w:szCs w:val="24"/>
        </w:rPr>
      </w:pPr>
      <w:r>
        <w:rPr>
          <w:color w:val="000000"/>
          <w:sz w:val="24"/>
          <w:szCs w:val="24"/>
        </w:rPr>
        <w:t>На финансирование отраслей социальной направленности, к которым относятся образование, культура, социальная политика, спорт, было направлено 2992,4  млн рублей, это 69,9 % от общего объёма.</w:t>
      </w:r>
    </w:p>
    <w:p>
      <w:pPr>
        <w:pStyle w:val="para25"/>
        <w:spacing/>
        <w:jc w:val="both"/>
        <w:rPr>
          <w:color w:val="000000"/>
          <w:sz w:val="24"/>
          <w:szCs w:val="24"/>
        </w:rPr>
      </w:pPr>
      <w:r>
        <w:rPr>
          <w:color w:val="000000"/>
          <w:sz w:val="24"/>
          <w:szCs w:val="24"/>
        </w:rPr>
        <w:t>На финансирование направлений экономического характера, к которым относятся разделы «Национальная экономика», «Жилищно-коммунальное хозяйство» было направлено 1000,7 млн  рублей, их доля в расходах – 23,4 %.</w:t>
      </w:r>
    </w:p>
    <w:p>
      <w:pPr>
        <w:spacing/>
        <w:contextualSpacing/>
        <w:jc w:val="center"/>
        <w:widowControl/>
        <w:tabs defTabSz="720">
          <w:tab w:val="left" w:pos="2268" w:leader="none"/>
        </w:tabs>
        <w:rPr>
          <w:color w:val="000000"/>
          <w:sz w:val="24"/>
          <w:szCs w:val="24"/>
        </w:rPr>
      </w:pPr>
      <w:r>
        <w:rPr>
          <w:color w:val="000000"/>
          <w:sz w:val="24"/>
          <w:szCs w:val="24"/>
        </w:rPr>
      </w:r>
    </w:p>
    <w:p>
      <w:pPr>
        <w:ind w:firstLine="709"/>
        <w:spacing/>
        <w:contextualSpacing/>
        <w:jc w:val="center"/>
        <w:widowControl/>
        <w:tabs defTabSz="720">
          <w:tab w:val="left" w:pos="2268" w:leader="none"/>
        </w:tabs>
        <w:rPr>
          <w:b/>
          <w:color w:val="000000"/>
          <w:sz w:val="24"/>
          <w:szCs w:val="24"/>
        </w:rPr>
      </w:pPr>
      <w:r>
        <w:rPr>
          <w:b/>
          <w:color w:val="000000"/>
          <w:sz w:val="24"/>
          <w:szCs w:val="24"/>
        </w:rPr>
        <w:t>7. УПРАВЛЕНИЕ МУНИЦИПАЛЬНЫМ ИМУЩЕСТВОМ</w:t>
      </w:r>
    </w:p>
    <w:p>
      <w:pPr>
        <w:ind w:firstLine="709"/>
        <w:spacing/>
        <w:contextualSpacing/>
        <w:jc w:val="center"/>
        <w:widowControl/>
        <w:tabs defTabSz="720">
          <w:tab w:val="left" w:pos="2268" w:leader="none"/>
        </w:tabs>
        <w:rPr>
          <w:b/>
          <w:color w:val="000000"/>
          <w:sz w:val="24"/>
          <w:szCs w:val="24"/>
        </w:rPr>
      </w:pPr>
      <w:r>
        <w:rPr>
          <w:b/>
          <w:color w:val="000000"/>
          <w:sz w:val="24"/>
          <w:szCs w:val="24"/>
        </w:rPr>
      </w:r>
    </w:p>
    <w:p>
      <w:pPr>
        <w:pStyle w:val="para125"/>
        <w:ind w:left="360" w:firstLine="348"/>
        <w:spacing/>
        <w:jc w:val="center"/>
        <w:widowControl w:val="0"/>
        <w:rPr>
          <w:b/>
          <w:color w:val="000000"/>
          <w:szCs w:val="24"/>
          <w:u w:color="auto" w:val="single"/>
        </w:rPr>
      </w:pPr>
      <w:r>
        <w:rPr>
          <w:b/>
          <w:color w:val="000000"/>
          <w:szCs w:val="24"/>
          <w:u w:color="auto" w:val="single"/>
        </w:rPr>
        <w:t>Имущественные отношения.</w:t>
      </w:r>
    </w:p>
    <w:p>
      <w:pPr>
        <w:ind w:firstLine="348"/>
        <w:spacing/>
        <w:contextualSpacing/>
        <w:jc w:val="both"/>
        <w:widowControl/>
        <w:rPr>
          <w:color w:val="000000"/>
          <w:sz w:val="24"/>
          <w:szCs w:val="24"/>
        </w:rPr>
      </w:pPr>
      <w:r/>
      <w:bookmarkStart w:id="0" w:name="_Hlk181199399"/>
      <w:r/>
      <w:r>
        <w:rPr>
          <w:color w:val="000000"/>
          <w:sz w:val="24"/>
          <w:szCs w:val="24"/>
        </w:rPr>
        <w:t>В рамках реализации положений действующего законодательства РФ, во исполнение нормативно-правовых актов, Комитетом по управлению муниципальным имуществом администрации Анжеро-Судженского городского округа за 2025 год была проведена работа по следующим направлениям:</w:t>
      </w:r>
      <w:r>
        <w:rPr>
          <w:color w:val="000000"/>
          <w:sz w:val="24"/>
          <w:szCs w:val="24"/>
        </w:rPr>
      </w:r>
    </w:p>
    <w:p>
      <w:pPr>
        <w:ind w:firstLine="348"/>
        <w:spacing/>
        <w:contextualSpacing/>
        <w:jc w:val="both"/>
        <w:widowControl/>
        <w:rPr>
          <w:color w:val="000000"/>
          <w:sz w:val="24"/>
          <w:szCs w:val="24"/>
        </w:rPr>
      </w:pPr>
      <w:r>
        <w:rPr>
          <w:color w:val="000000"/>
          <w:sz w:val="24"/>
          <w:szCs w:val="24"/>
        </w:rPr>
      </w:r>
    </w:p>
    <w:p>
      <w:pPr>
        <w:pStyle w:val="para95"/>
        <w:ind w:firstLine="709"/>
        <w:spacing/>
        <w:jc w:val="both"/>
        <w:widowControl w:val="0"/>
        <w:rPr>
          <w:color w:val="000000"/>
          <w:szCs w:val="24"/>
        </w:rPr>
      </w:pPr>
      <w:r>
        <w:rPr>
          <w:color w:val="000000"/>
          <w:szCs w:val="24"/>
        </w:rPr>
        <w:t>В Управлении Федеральной службы государственной регистрации, кадастра и картографии по Кемеровской области зарегистрировано право муниципальной собственности на 120 объект недвижимости.</w:t>
      </w:r>
    </w:p>
    <w:p>
      <w:pPr>
        <w:pStyle w:val="para11"/>
        <w:ind w:firstLine="709"/>
        <w:spacing/>
        <w:jc w:val="both"/>
        <w:rPr>
          <w:color w:val="000000"/>
        </w:rPr>
      </w:pPr>
      <w:r>
        <w:rPr>
          <w:color w:val="000000"/>
        </w:rPr>
        <w:t>Принято в муниципальную собственность 5 объектов нежилого фонда, ранее имеющие статус бесхозяйных соответственно, и зарегистрировано право муниципальной собственности.</w:t>
      </w:r>
    </w:p>
    <w:p>
      <w:pPr>
        <w:pStyle w:val="para11"/>
        <w:ind w:firstLine="709"/>
        <w:spacing/>
        <w:jc w:val="both"/>
        <w:rPr>
          <w:color w:val="000000"/>
        </w:rPr>
      </w:pPr>
      <w:r>
        <w:rPr>
          <w:color w:val="000000"/>
        </w:rPr>
        <w:t>Принято в муниципальную собственность 78 объектов жилищного фонда, площадью 2526,3 кв.м.</w:t>
      </w:r>
    </w:p>
    <w:p>
      <w:pPr>
        <w:pStyle w:val="para11"/>
        <w:ind w:firstLine="709"/>
        <w:spacing/>
        <w:jc w:val="both"/>
        <w:rPr>
          <w:color w:val="000000"/>
        </w:rPr>
      </w:pPr>
      <w:r>
        <w:rPr>
          <w:color w:val="000000"/>
        </w:rPr>
        <w:t xml:space="preserve">По соглашениям об изъятии в муниципальную собственность принят 1 объект жилищного фонда, общей площадью 33,3 кв.м. </w:t>
      </w:r>
    </w:p>
    <w:p>
      <w:pPr>
        <w:pStyle w:val="para11"/>
        <w:ind w:firstLine="709"/>
        <w:spacing/>
        <w:jc w:val="both"/>
        <w:rPr>
          <w:color w:val="000000"/>
        </w:rPr>
      </w:pPr>
      <w:r>
        <w:rPr>
          <w:color w:val="000000"/>
        </w:rPr>
        <w:t>В рамках 185-ФЗ, в связи со сносом ветхого и аварийного жилья, в целях реализации муниципальных программ «Переселение граждан из ветхого и аварийного жилья» и ГУРШ, с учётом реализации Федерального Закона от 30.12.2020 №518-ФЗ «О внесении изменений в отдельные законодательные акты РФ» за 12 месяцев 2025</w:t>
      </w:r>
      <w:r>
        <w:rPr>
          <w:color w:val="000000"/>
          <w:lang w:eastAsia="ru-ru"/>
        </w:rPr>
        <w:t xml:space="preserve"> года 56</w:t>
      </w:r>
      <w:r>
        <w:rPr>
          <w:color w:val="000000"/>
        </w:rPr>
        <w:t xml:space="preserve"> объектов недвижимости снято с кадастрового учёта, в результате 215 объектов муниципального жилищного фонда, общей площадью 9554,4 кв.м., снято с баланса. В результате приватизации муниципального жилищного фонда 130 объектов снято с баланса муниципального образования.</w:t>
      </w:r>
    </w:p>
    <w:p>
      <w:pPr>
        <w:pStyle w:val="para25"/>
        <w:spacing/>
        <w:jc w:val="both"/>
        <w:rPr>
          <w:color w:val="000000"/>
          <w:sz w:val="24"/>
          <w:szCs w:val="24"/>
        </w:rPr>
      </w:pPr>
      <w:r>
        <w:rPr>
          <w:color w:val="000000"/>
          <w:sz w:val="24"/>
          <w:szCs w:val="24"/>
        </w:rPr>
        <w:t>По состоянию на 01.01.2026 на территории Анжеро-Судженского городского округа зарегистрировано 2 муниципальных предприятия и 87 муниципальных учреждений.</w:t>
      </w:r>
    </w:p>
    <w:p>
      <w:pPr>
        <w:pStyle w:val="para25"/>
        <w:spacing/>
        <w:jc w:val="both"/>
        <w:rPr>
          <w:color w:val="000000"/>
          <w:sz w:val="24"/>
          <w:szCs w:val="24"/>
        </w:rPr>
      </w:pPr>
      <w:r>
        <w:rPr>
          <w:color w:val="000000"/>
          <w:sz w:val="24"/>
          <w:szCs w:val="24"/>
        </w:rPr>
        <w:t>Постановлением администрации Анжеро-Судженского городского округа от 08.08.2024 №568 «О ликвидации муниципального автономного научного учреждения Анжеро-Судженского городского округа «Инновационное производственное архитектурно-градостроительное бюро» объявлена ликвидация МАНУ «АГБ».</w:t>
      </w:r>
    </w:p>
    <w:p>
      <w:pPr>
        <w:ind w:firstLine="708"/>
        <w:spacing/>
        <w:jc w:val="both"/>
        <w:rPr>
          <w:color w:val="000000"/>
          <w:sz w:val="24"/>
          <w:szCs w:val="24"/>
        </w:rPr>
      </w:pPr>
      <w:r>
        <w:rPr>
          <w:color w:val="000000"/>
          <w:sz w:val="24"/>
          <w:szCs w:val="24"/>
        </w:rPr>
        <w:t>Постановлением администрации Анжеро-Судженского городского округа от 17.04.2025 №465 «О реорганизации в форме слияния муниципального казённого учреждения АСГО «Реабилитационный центр для детей и подростков с ограниченными возможностями» и муниципального казённого учреждения АСГО «Социально-реабилитационный Центр для несовершеннолетних» в муниципальное казённое учреждение АСГО «Центр социальной помощи семье и детям» объявлена реорганизация МКУ АСГО «Реабилитационный центр для детей и подростков с ограниченными возможностями» в форме слияния с МКУ АСГО «Социально-реабилитационный Центр для несовершеннолетних». Сведения о прекращении деятельности МКУ «РЦДП» внесены в ЕГРЮЛ 12.08.2025.</w:t>
      </w:r>
    </w:p>
    <w:p>
      <w:pPr>
        <w:pStyle w:val="para25"/>
        <w:spacing/>
        <w:jc w:val="both"/>
        <w:rPr>
          <w:color w:val="000000"/>
          <w:sz w:val="24"/>
          <w:szCs w:val="24"/>
        </w:rPr>
      </w:pPr>
      <w:r>
        <w:rPr>
          <w:color w:val="000000"/>
          <w:sz w:val="24"/>
          <w:szCs w:val="24"/>
        </w:rPr>
        <w:t>Постановлением администрации Анжеро-Судженского городского округа от 31.03.2025 №418 «О ликвидации муниципального бюджетного дошкольного образовательного учреждения Анжеро-Судженского городского округа «Детский сад №36» объявлена ликвидация МБДОУ АСГО «Детский сад №36» (ОГРН 1024200508958).</w:t>
      </w:r>
    </w:p>
    <w:p>
      <w:pPr>
        <w:ind w:firstLine="708"/>
        <w:spacing/>
        <w:jc w:val="both"/>
        <w:rPr>
          <w:color w:val="000000"/>
          <w:sz w:val="24"/>
          <w:szCs w:val="24"/>
        </w:rPr>
      </w:pPr>
      <w:r>
        <w:rPr>
          <w:color w:val="000000"/>
          <w:sz w:val="24"/>
          <w:szCs w:val="24"/>
        </w:rPr>
        <w:t>Решением Арбитражного суда Кемеровской области от 20.09.2022 по делу №А 27-5304/2022 МП «Жилье» (ОГРН 1114246000923, ИНН 4246000576, адрес: 652470, Кемеровская область - Кузбасс, г Анжеро-Судженск, ул.С.Перовской, 27) признано несостоятельным (банкротом), открыто конкурсное производство. Конкурсным управляющим утверждена Берман Наталья Владимировна (ИНН 421715341396, СНИЛС 112-960-891 57) - член ААУ «Содружество» (ОГРН 1137800008477, ИНН 7801351420, адрес: 192012, г. Санкт-Петербург, Суворовский пр., 65, д. 65, лит. Б, пом. 8-Н-43).</w:t>
      </w:r>
    </w:p>
    <w:p>
      <w:pPr>
        <w:ind w:firstLine="708"/>
        <w:spacing/>
        <w:jc w:val="both"/>
        <w:rPr>
          <w:color w:val="000000"/>
          <w:sz w:val="24"/>
          <w:szCs w:val="24"/>
        </w:rPr>
      </w:pPr>
      <w:r>
        <w:rPr>
          <w:color w:val="000000"/>
          <w:sz w:val="24"/>
          <w:szCs w:val="24"/>
        </w:rPr>
        <w:t>Решением Арбитражного суда Кемеровской области от 05.03.2025 по делу № А27-13539/2024 муниципальное предприятие Анжеро-Судженского городского округа «Городской коммунальный сервис» (ИНН 4246018140) признано банкротом и открыто конкурсное производство. Конкурсным управляющим должника утвержден Шаяхметов Артур Альбертович (адрес для направления корреспонденции: 420012, Республика Татарстан, г.Казань, а/я 229).</w:t>
      </w:r>
    </w:p>
    <w:p>
      <w:pPr>
        <w:ind w:firstLine="709"/>
        <w:spacing/>
        <w:jc w:val="both"/>
        <w:rPr>
          <w:color w:val="000000"/>
          <w:sz w:val="24"/>
          <w:szCs w:val="24"/>
        </w:rPr>
      </w:pPr>
      <w:r>
        <w:rPr>
          <w:color w:val="000000"/>
          <w:sz w:val="24"/>
          <w:szCs w:val="24"/>
        </w:rPr>
        <w:t>По состоянию на 01.01.2026 г. заключено:</w:t>
      </w:r>
    </w:p>
    <w:p>
      <w:pPr>
        <w:ind w:firstLine="708"/>
        <w:spacing/>
        <w:jc w:val="both"/>
        <w:rPr>
          <w:color w:val="000000"/>
          <w:sz w:val="24"/>
          <w:szCs w:val="24"/>
        </w:rPr>
      </w:pPr>
      <w:r>
        <w:rPr>
          <w:color w:val="000000"/>
          <w:sz w:val="24"/>
          <w:szCs w:val="24"/>
        </w:rPr>
        <w:t>-14 договоров аренды муниципального нежилого фонда, общей площадью 25922,8  кв.м.;</w:t>
      </w:r>
    </w:p>
    <w:p>
      <w:pPr>
        <w:ind w:firstLine="708"/>
        <w:spacing/>
        <w:jc w:val="both"/>
        <w:rPr>
          <w:color w:val="000000"/>
          <w:sz w:val="24"/>
          <w:szCs w:val="24"/>
        </w:rPr>
      </w:pPr>
      <w:r>
        <w:rPr>
          <w:color w:val="000000"/>
          <w:sz w:val="24"/>
          <w:szCs w:val="24"/>
        </w:rPr>
        <w:t>-1 концессионное соглашение на муниципальные объекты инженерной инфраструктуры (теплоснабжения), протяжённостью 26049,24 м.</w:t>
      </w:r>
    </w:p>
    <w:p>
      <w:pPr>
        <w:ind w:firstLine="708"/>
        <w:spacing/>
        <w:jc w:val="both"/>
        <w:rPr>
          <w:color w:val="000000"/>
          <w:sz w:val="24"/>
          <w:szCs w:val="24"/>
        </w:rPr>
      </w:pPr>
      <w:r>
        <w:rPr>
          <w:color w:val="000000"/>
          <w:sz w:val="24"/>
          <w:szCs w:val="24"/>
        </w:rPr>
        <w:t>-1 концессионное соглашение на муниципальные объекты инженерной инфраструктуры (водоснабжения), протяжённостью 612990,7 м.</w:t>
      </w:r>
    </w:p>
    <w:p>
      <w:pPr>
        <w:ind w:firstLine="708"/>
        <w:spacing/>
        <w:jc w:val="both"/>
        <w:rPr>
          <w:color w:val="000000"/>
          <w:sz w:val="24"/>
          <w:szCs w:val="24"/>
        </w:rPr>
      </w:pPr>
      <w:r>
        <w:rPr>
          <w:color w:val="000000"/>
          <w:sz w:val="24"/>
          <w:szCs w:val="24"/>
        </w:rPr>
        <w:t>-1 концессионное соглашение на муниципальные объекты инженерной инфраструктуры (водоснабжения), протяженностью 117101,23 м.</w:t>
      </w:r>
    </w:p>
    <w:p>
      <w:pPr>
        <w:ind w:firstLine="708"/>
        <w:spacing/>
        <w:jc w:val="both"/>
        <w:rPr>
          <w:color w:val="000000"/>
          <w:sz w:val="24"/>
          <w:szCs w:val="24"/>
        </w:rPr>
      </w:pPr>
      <w:r>
        <w:rPr>
          <w:color w:val="000000"/>
          <w:sz w:val="24"/>
          <w:szCs w:val="24"/>
        </w:rPr>
      </w:r>
    </w:p>
    <w:p>
      <w:pPr>
        <w:ind w:firstLine="708"/>
        <w:spacing/>
        <w:jc w:val="both"/>
        <w:rPr>
          <w:color w:val="000000"/>
          <w:sz w:val="24"/>
          <w:szCs w:val="24"/>
          <w:u w:color="auto" w:val="single"/>
        </w:rPr>
      </w:pPr>
      <w:r>
        <w:rPr>
          <w:color w:val="000000"/>
          <w:sz w:val="24"/>
          <w:szCs w:val="24"/>
          <w:u w:color="auto" w:val="single"/>
        </w:rPr>
        <w:t>За 2025 год:</w:t>
      </w:r>
    </w:p>
    <w:p>
      <w:pPr>
        <w:ind w:firstLine="708"/>
        <w:spacing/>
        <w:jc w:val="both"/>
        <w:rPr>
          <w:color w:val="000000"/>
          <w:sz w:val="24"/>
          <w:szCs w:val="24"/>
        </w:rPr>
      </w:pPr>
      <w:r>
        <w:rPr>
          <w:color w:val="000000"/>
          <w:sz w:val="24"/>
          <w:szCs w:val="24"/>
        </w:rPr>
        <w:t>-доходы от сдачи в аренду имущества, находящегося в оперативном управлении органов управления городских округов… -  поступление на 01.01.2026 г. –  457,25 тыс. руб. Процент исполнения плана – 113,7 %. Увеличение связано с оплатой задолженности по договорам аренды, увеличение суммы арендной платы.</w:t>
      </w:r>
    </w:p>
    <w:p>
      <w:pPr>
        <w:ind w:firstLine="708"/>
        <w:spacing/>
        <w:jc w:val="both"/>
        <w:rPr>
          <w:color w:val="000000"/>
          <w:sz w:val="24"/>
          <w:szCs w:val="24"/>
        </w:rPr>
      </w:pPr>
      <w:r>
        <w:rPr>
          <w:color w:val="000000"/>
          <w:sz w:val="24"/>
          <w:szCs w:val="24"/>
        </w:rPr>
        <w:t>-доходы от сдачи в аренду имущества, составляющего казну городских округов - поступление – 23 172,04 тыс. руб., в том числе 331,08 тыс. руб. пеня. Процент исполнения плана – 109 %. Увеличение связано с оплатой задолженности по арендным платежам. Основным плательщиком является ООО «ЭнергоПаритет».</w:t>
      </w:r>
    </w:p>
    <w:p>
      <w:pPr>
        <w:ind w:firstLine="708"/>
        <w:spacing/>
        <w:jc w:val="both"/>
        <w:rPr>
          <w:color w:val="000000"/>
          <w:sz w:val="24"/>
          <w:szCs w:val="24"/>
        </w:rPr>
      </w:pPr>
      <w:r>
        <w:rPr>
          <w:color w:val="000000"/>
          <w:sz w:val="24"/>
          <w:szCs w:val="24"/>
        </w:rPr>
        <w:t xml:space="preserve">Контроль за поступлением неналоговых платежей ведётся постоянно, в случаях отсутствия оплаты, с неплательщиками ведётся претензионно-исковая работа.  </w:t>
      </w:r>
    </w:p>
    <w:p>
      <w:pPr>
        <w:ind w:firstLine="708"/>
        <w:spacing/>
        <w:jc w:val="both"/>
        <w:rPr>
          <w:color w:val="000000"/>
          <w:sz w:val="24"/>
          <w:szCs w:val="24"/>
        </w:rPr>
      </w:pPr>
      <w:r>
        <w:rPr>
          <w:color w:val="000000"/>
          <w:sz w:val="24"/>
          <w:szCs w:val="24"/>
        </w:rPr>
        <w:t xml:space="preserve">На 01.01.2026 за 2025 год подано 3 исковых заявления на сумму 2 186,16 тыс. руб., в т. ч. пеня 73,25 тыс. руб. Арбитражным судом Кемеровской области -Кузбасса удовлетворено 3 исковых заявления на сумму 2 186,16 тыс. руб., в т. ч. пеня – 73,25 тыс. руб., по данным решениям возбуждены исполнительные производства. </w:t>
      </w:r>
    </w:p>
    <w:p>
      <w:pPr>
        <w:ind w:firstLine="708"/>
        <w:spacing/>
        <w:jc w:val="both"/>
        <w:rPr>
          <w:color w:val="000000"/>
          <w:sz w:val="24"/>
          <w:szCs w:val="24"/>
        </w:rPr>
      </w:pPr>
      <w:r>
        <w:rPr>
          <w:color w:val="000000"/>
          <w:sz w:val="24"/>
          <w:szCs w:val="24"/>
        </w:rPr>
        <w:t>За период 2023 – 2024 годы было направлено 13 исковых заявлений на сумму 13 104,33 тыс. руб., в т. ч. пеня – 1 343,42 тыс. руб. Арбитражным судом Кемеровской области -Кузбасса удовлетворено 13 исковых заявления на сумму 13 104,33 тыс. руб., в т. ч. пеня – 1 343,42 тыс. руб., по данным решениям возбуждены исполнительные производства.</w:t>
      </w:r>
    </w:p>
    <w:p>
      <w:pPr>
        <w:ind w:firstLine="708"/>
        <w:spacing/>
        <w:jc w:val="both"/>
        <w:rPr>
          <w:color w:val="000000"/>
          <w:sz w:val="24"/>
          <w:szCs w:val="24"/>
        </w:rPr>
      </w:pPr>
      <w:r>
        <w:rPr>
          <w:color w:val="000000"/>
          <w:sz w:val="24"/>
          <w:szCs w:val="24"/>
        </w:rPr>
        <w:t xml:space="preserve">В результате претензионно-исковой работы, за 2025 года поступило 3 379,05 тыс.руб., в т.ч. пеня – 331,08 тыс.руб.  По состоянию на 01.01.2026 имеется сумма невозможная к взысканию 6 394,28 тыс. руб. и пеня – 176,64 тыс. руб. (ООО «Водоканал» объявлена процедура банкротства).  </w:t>
      </w:r>
    </w:p>
    <w:p>
      <w:pPr>
        <w:ind w:firstLine="708"/>
        <w:spacing/>
        <w:jc w:val="both"/>
        <w:rPr>
          <w:color w:val="000000"/>
          <w:sz w:val="24"/>
          <w:szCs w:val="24"/>
        </w:rPr>
      </w:pPr>
      <w:r>
        <w:rPr>
          <w:color w:val="000000"/>
          <w:sz w:val="24"/>
          <w:szCs w:val="24"/>
        </w:rPr>
      </w:r>
    </w:p>
    <w:p>
      <w:pPr>
        <w:ind w:firstLine="708"/>
        <w:spacing/>
        <w:jc w:val="center"/>
        <w:rPr>
          <w:b/>
          <w:color w:val="000000"/>
          <w:sz w:val="24"/>
          <w:szCs w:val="24"/>
          <w:u w:color="auto" w:val="single"/>
        </w:rPr>
      </w:pPr>
      <w:r>
        <w:rPr>
          <w:b/>
          <w:color w:val="000000"/>
          <w:sz w:val="24"/>
          <w:szCs w:val="24"/>
          <w:u w:color="auto" w:val="single"/>
        </w:rPr>
        <w:t>Приватизация</w:t>
      </w:r>
    </w:p>
    <w:p>
      <w:pPr>
        <w:ind w:firstLine="708"/>
        <w:spacing/>
        <w:jc w:val="both"/>
        <w:rPr>
          <w:color w:val="000000"/>
          <w:sz w:val="24"/>
          <w:szCs w:val="24"/>
        </w:rPr>
      </w:pPr>
      <w:r>
        <w:rPr>
          <w:color w:val="000000"/>
          <w:sz w:val="24"/>
          <w:szCs w:val="24"/>
        </w:rPr>
        <w:t>На 01.01.2026 заключён 1 договор купли-продажи. По состоянию на 01.01.2026 поступления в местный бюджет от приватизации муниципального имущества составило 1921,00 тыс.руб., в т.ч. за земельный участок в сумме 559,00 тыс.руб.  и  НДС в сумме 227,00 тыс.руб.  Реализован объект - мастерская по адресу: г. Анжеро-Судженск, ул. Куйбышева, 73, площадью 426 кв. м.</w:t>
      </w:r>
    </w:p>
    <w:p>
      <w:pPr>
        <w:ind w:firstLine="348"/>
        <w:spacing/>
        <w:contextualSpacing/>
        <w:jc w:val="both"/>
        <w:widowControl/>
        <w:rPr>
          <w:color w:val="000000"/>
          <w:sz w:val="24"/>
          <w:szCs w:val="24"/>
        </w:rPr>
      </w:pPr>
      <w:r>
        <w:rPr>
          <w:color w:val="000000"/>
          <w:sz w:val="24"/>
          <w:szCs w:val="24"/>
        </w:rPr>
      </w:r>
    </w:p>
    <w:p>
      <w:pPr>
        <w:ind w:firstLine="709"/>
        <w:spacing/>
        <w:contextualSpacing/>
        <w:jc w:val="center"/>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bCs/>
          <w:color w:val="000000"/>
          <w:sz w:val="24"/>
          <w:szCs w:val="24"/>
          <w:u w:color="auto" w:val="single"/>
        </w:rPr>
      </w:pPr>
      <w:r/>
      <w:bookmarkEnd w:id="0"/>
      <w:r/>
      <w:r>
        <w:rPr>
          <w:b/>
          <w:bCs/>
          <w:color w:val="000000"/>
          <w:sz w:val="24"/>
          <w:szCs w:val="24"/>
          <w:u w:color="auto" w:val="single"/>
        </w:rPr>
        <w:t>Земельные отношения</w:t>
      </w:r>
      <w:r>
        <w:rPr>
          <w:b/>
          <w:bCs/>
          <w:color w:val="000000"/>
          <w:sz w:val="24"/>
          <w:szCs w:val="24"/>
          <w:u w:color="auto" w:val="single"/>
        </w:rPr>
      </w:r>
    </w:p>
    <w:p>
      <w:pPr>
        <w:ind w:firstLine="708"/>
        <w:spacing/>
        <w:contextualSpacing/>
        <w:jc w:val="center"/>
        <w:widowControl/>
        <w:rPr>
          <w:b/>
          <w:bCs/>
          <w:color w:val="000000"/>
          <w:sz w:val="24"/>
          <w:szCs w:val="24"/>
          <w:u w:color="auto" w:val="single"/>
        </w:rPr>
      </w:pPr>
      <w:r>
        <w:rPr>
          <w:b/>
          <w:bCs/>
          <w:color w:val="000000"/>
          <w:sz w:val="24"/>
          <w:szCs w:val="24"/>
          <w:u w:color="auto" w:val="single"/>
        </w:rPr>
        <w:t>Оформление правоустанавливающих документов на земельные участки.</w:t>
      </w:r>
    </w:p>
    <w:p>
      <w:pPr>
        <w:ind w:firstLine="720"/>
        <w:spacing/>
        <w:contextualSpacing/>
        <w:jc w:val="both"/>
        <w:widowControl/>
        <w:rPr>
          <w:rFonts w:eastAsia="Calibri"/>
          <w:color w:val="000000"/>
          <w:sz w:val="24"/>
          <w:szCs w:val="24"/>
        </w:rPr>
      </w:pPr>
      <w:r>
        <w:rPr>
          <w:rFonts w:eastAsia="Calibri"/>
          <w:color w:val="000000"/>
          <w:sz w:val="24"/>
          <w:szCs w:val="24"/>
        </w:rPr>
        <w:t xml:space="preserve">С целью оформления правоустанавливающих документов на земельные участки за  2025 года 146 участков оформлены гражданами в собственность бесплатно, заключено 125 договоров купли-продажи земельных участков, поступления по которым составили – 3796,87 тыс. руб. По состоянию на 01.01.2026 г. количество действующих договоров аренды составило – 7 072, за 12 месяцев 2025 года заключено 181 договоров аренды на земельные участки, которые ранее не предоставлялись, на сумму годовой арендной платы в размере – 8 984,5 тыс. руб. </w:t>
      </w:r>
    </w:p>
    <w:p>
      <w:pPr>
        <w:ind w:firstLine="720"/>
        <w:spacing/>
        <w:contextualSpacing/>
        <w:jc w:val="both"/>
        <w:widowControl/>
        <w:rPr>
          <w:rFonts w:eastAsia="Calibri"/>
          <w:color w:val="000000"/>
          <w:sz w:val="24"/>
          <w:szCs w:val="24"/>
        </w:rPr>
      </w:pPr>
      <w:r>
        <w:rPr>
          <w:rFonts w:eastAsia="Calibri"/>
          <w:color w:val="000000"/>
          <w:sz w:val="24"/>
          <w:szCs w:val="24"/>
        </w:rPr>
      </w:r>
    </w:p>
    <w:p>
      <w:pPr>
        <w:ind w:firstLine="708"/>
        <w:spacing/>
        <w:contextualSpacing/>
        <w:jc w:val="center"/>
        <w:widowControl/>
        <w:rPr>
          <w:b/>
          <w:bCs/>
          <w:color w:val="000000"/>
          <w:sz w:val="24"/>
          <w:szCs w:val="24"/>
          <w:u w:color="auto" w:val="single"/>
        </w:rPr>
      </w:pPr>
      <w:r>
        <w:rPr>
          <w:b/>
          <w:bCs/>
          <w:color w:val="000000"/>
          <w:sz w:val="24"/>
          <w:szCs w:val="24"/>
          <w:u w:color="auto" w:val="single"/>
        </w:rPr>
        <w:t>Инвентаризация земельных участков и контроль за соблюдением земельного законодательства</w:t>
      </w:r>
    </w:p>
    <w:p>
      <w:pPr>
        <w:ind w:firstLine="708"/>
        <w:spacing/>
        <w:jc w:val="both"/>
        <w:rPr>
          <w:color w:val="000000"/>
          <w:sz w:val="24"/>
          <w:szCs w:val="24"/>
        </w:rPr>
      </w:pPr>
      <w:r>
        <w:rPr>
          <w:color w:val="000000"/>
          <w:sz w:val="24"/>
          <w:szCs w:val="24"/>
        </w:rPr>
        <w:t xml:space="preserve">За 12 месяцев 2025 года оформлено в аренду земельных участков, которые ранее не предоставлялись - 9,04 га. </w:t>
      </w:r>
    </w:p>
    <w:p>
      <w:pPr>
        <w:ind w:firstLine="708"/>
        <w:spacing/>
        <w:jc w:val="both"/>
        <w:rPr>
          <w:color w:val="000000"/>
          <w:sz w:val="24"/>
          <w:szCs w:val="24"/>
        </w:rPr>
      </w:pPr>
      <w:r>
        <w:rPr>
          <w:color w:val="000000"/>
          <w:sz w:val="24"/>
          <w:szCs w:val="24"/>
        </w:rPr>
        <w:t>При выявление нецелевого использования земельных участков, или использования земельных участков без правовых документов, ведётся претензионно-исковая работа.</w:t>
      </w:r>
    </w:p>
    <w:p>
      <w:pPr>
        <w:spacing/>
        <w:contextualSpacing/>
        <w:jc w:val="center"/>
        <w:widowControl/>
        <w:rPr>
          <w:b/>
          <w:bCs/>
          <w:color w:val="000000"/>
          <w:sz w:val="24"/>
          <w:szCs w:val="24"/>
          <w:u w:color="auto" w:val="single"/>
        </w:rPr>
      </w:pPr>
      <w:r>
        <w:rPr>
          <w:b/>
          <w:bCs/>
          <w:color w:val="000000"/>
          <w:sz w:val="24"/>
          <w:szCs w:val="24"/>
          <w:u w:color="auto" w:val="single"/>
        </w:rPr>
        <w:t>Аренда земельных участков</w:t>
      </w:r>
    </w:p>
    <w:p>
      <w:pPr>
        <w:ind w:firstLine="708"/>
        <w:spacing/>
        <w:jc w:val="both"/>
        <w:rPr>
          <w:color w:val="000000"/>
          <w:sz w:val="24"/>
          <w:szCs w:val="24"/>
        </w:rPr>
      </w:pPr>
      <w:r>
        <w:rPr>
          <w:color w:val="000000"/>
          <w:sz w:val="24"/>
          <w:szCs w:val="24"/>
        </w:rPr>
        <w:t>За 12 месяцев 2025 г. неналоговые поступления за земельные участки составили 73 082 тыс. рублей, в т.ч. пеня – 1 436,88 тыс. рублей.</w:t>
      </w:r>
    </w:p>
    <w:p>
      <w:pPr>
        <w:ind w:firstLine="708"/>
        <w:spacing/>
        <w:jc w:val="both"/>
        <w:rPr>
          <w:color w:val="000000"/>
          <w:sz w:val="24"/>
          <w:szCs w:val="24"/>
        </w:rPr>
      </w:pPr>
      <w:r>
        <w:rPr>
          <w:color w:val="000000"/>
          <w:sz w:val="24"/>
          <w:szCs w:val="24"/>
        </w:rPr>
        <w:t>В результате претензионно-исковой работы с неплательщиками арендной платы за занимаемые земельные участки КУМИ было предъявлено 73 претензий и исков на общую сумму - 44 845,01 тыс. руб. В результате претензионно-исковой работы за 12 месяцев 2025 года поступило - 15 020,35 тыс. руб.</w:t>
      </w:r>
    </w:p>
    <w:p>
      <w:pPr>
        <w:ind w:firstLine="708"/>
        <w:spacing/>
        <w:jc w:val="both"/>
        <w:rPr>
          <w:color w:val="000000"/>
          <w:sz w:val="24"/>
          <w:szCs w:val="24"/>
        </w:rPr>
      </w:pPr>
      <w:r>
        <w:rPr>
          <w:color w:val="000000"/>
          <w:sz w:val="24"/>
          <w:szCs w:val="24"/>
        </w:rPr>
      </w:r>
    </w:p>
    <w:p>
      <w:pPr>
        <w:ind w:firstLine="708"/>
        <w:spacing/>
        <w:contextualSpacing/>
        <w:jc w:val="center"/>
        <w:widowControl/>
        <w:rPr>
          <w:b/>
          <w:bCs/>
          <w:color w:val="000000"/>
          <w:sz w:val="24"/>
          <w:szCs w:val="24"/>
          <w:u w:color="auto" w:val="single"/>
        </w:rPr>
      </w:pPr>
      <w:r>
        <w:rPr>
          <w:b/>
          <w:bCs/>
          <w:color w:val="000000"/>
          <w:sz w:val="24"/>
          <w:szCs w:val="24"/>
          <w:u w:color="auto" w:val="single"/>
        </w:rPr>
        <w:t>Продажа земельных участков</w:t>
      </w:r>
    </w:p>
    <w:p>
      <w:pPr>
        <w:ind w:firstLine="709"/>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t xml:space="preserve">За 12 месяцев 2025 г. Комитетом по управлению муниципальным имуществом администрации Анжеро-Судженского городского было заключено 125 договоров купли-продажи земельных участков, поступление от которых в доход местного бюджета составили  3 796,87 тыс. руб. </w:t>
      </w:r>
    </w:p>
    <w:p>
      <w:pPr>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r>
    </w:p>
    <w:p>
      <w:pPr>
        <w:ind w:firstLine="709"/>
        <w:spacing/>
        <w:contextualSpacing/>
        <w:jc w:val="center"/>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bCs/>
          <w:color w:val="000000"/>
          <w:spacing w:val="-1" w:percent="99"/>
          <w:sz w:val="24"/>
          <w:szCs w:val="24"/>
        </w:rPr>
      </w:pPr>
      <w:r>
        <w:rPr>
          <w:b/>
          <w:bCs/>
          <w:color w:val="000000"/>
          <w:spacing w:val="-1" w:percent="99"/>
          <w:sz w:val="24"/>
          <w:szCs w:val="24"/>
        </w:rPr>
        <w:t>8. ЖИЛИЩНО-КОММУНАЛЬНОЕ ХОЗЯЙСТВО</w:t>
      </w:r>
    </w:p>
    <w:p>
      <w:pPr>
        <w:ind w:firstLine="709"/>
        <w:spacing/>
        <w:contextualSpacing/>
        <w:jc w:val="center"/>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bCs/>
          <w:color w:val="000000"/>
          <w:spacing w:val="-1" w:percent="99"/>
          <w:sz w:val="24"/>
          <w:szCs w:val="24"/>
        </w:rPr>
      </w:pPr>
      <w:r>
        <w:rPr>
          <w:b/>
          <w:bCs/>
          <w:color w:val="000000"/>
          <w:spacing w:val="-1" w:percent="99"/>
          <w:sz w:val="24"/>
          <w:szCs w:val="24"/>
        </w:rPr>
      </w:r>
    </w:p>
    <w:p>
      <w:pPr>
        <w:ind w:firstLine="709"/>
        <w:spacing/>
        <w:contextualSpacing/>
        <w:jc w:val="both"/>
        <w:widowControl/>
        <w:tabs defTabSz="720">
          <w:tab w:val="left" w:pos="-57" w:leader="none"/>
        </w:tabs>
        <w:rPr>
          <w:color w:val="000000"/>
          <w:sz w:val="24"/>
          <w:szCs w:val="24"/>
        </w:rPr>
      </w:pPr>
      <w:r>
        <w:rPr>
          <w:color w:val="000000"/>
          <w:sz w:val="24"/>
          <w:szCs w:val="24"/>
        </w:rPr>
        <w:t>Основные направления работы предприятий жилищно-коммунального хозяйства в 2025 году определены муниципальными целевыми программами.</w:t>
      </w:r>
    </w:p>
    <w:p>
      <w:pPr>
        <w:ind w:firstLine="709"/>
        <w:spacing/>
        <w:contextualSpacing/>
        <w:jc w:val="both"/>
        <w:widowControl/>
        <w:tabs defTabSz="720">
          <w:tab w:val="left" w:pos="-57" w:leader="none"/>
        </w:tabs>
        <w:rPr>
          <w:color w:val="000000"/>
          <w:sz w:val="24"/>
          <w:szCs w:val="24"/>
        </w:rPr>
      </w:pPr>
      <w:r>
        <w:rPr>
          <w:color w:val="000000"/>
          <w:sz w:val="24"/>
          <w:szCs w:val="24"/>
        </w:rPr>
        <w:t xml:space="preserve">На реализацию мероприятий программы </w:t>
      </w:r>
      <w:r>
        <w:rPr>
          <w:b/>
          <w:bCs/>
          <w:i/>
          <w:iCs/>
          <w:color w:val="000000"/>
          <w:sz w:val="24"/>
          <w:szCs w:val="24"/>
        </w:rPr>
        <w:t>«Комплексные мероприятия по повышению энергоэффективности жилищно-коммунального хозяйства на территории Анжеро-Судженского городского округа»</w:t>
      </w:r>
      <w:r>
        <w:rPr>
          <w:color w:val="000000"/>
          <w:sz w:val="24"/>
          <w:szCs w:val="24"/>
        </w:rPr>
        <w:t xml:space="preserve"> </w:t>
      </w:r>
      <w:r>
        <w:rPr>
          <w:b/>
          <w:bCs/>
          <w:i/>
          <w:iCs/>
          <w:color w:val="000000"/>
          <w:sz w:val="24"/>
          <w:szCs w:val="24"/>
        </w:rPr>
        <w:t>на 2022-2027 годы»</w:t>
      </w:r>
      <w:r>
        <w:rPr>
          <w:color w:val="000000"/>
          <w:sz w:val="24"/>
          <w:szCs w:val="24"/>
        </w:rPr>
        <w:t xml:space="preserve"> на 01.01.2026 направлено 731 445,4 тыс. руб., что составляет 99,8% от запланированного объёма.</w:t>
      </w:r>
      <w:r>
        <w:rPr>
          <w:color w:val="000000"/>
          <w:sz w:val="24"/>
          <w:szCs w:val="24"/>
        </w:rPr>
      </w:r>
    </w:p>
    <w:p>
      <w:pPr>
        <w:ind w:firstLine="709"/>
        <w:spacing/>
        <w:contextualSpacing/>
        <w:jc w:val="both"/>
        <w:widowControl/>
        <w:tabs defTabSz="720">
          <w:tab w:val="left" w:pos="-57"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rPr>
      </w:pPr>
      <w:r>
        <w:rPr>
          <w:color w:val="000000"/>
          <w:sz w:val="24"/>
          <w:szCs w:val="24"/>
        </w:rPr>
        <w:t xml:space="preserve">Организациям, предоставляющим населению услуги по тарифам, не обеспечивающим возмещение издержек, возмещено на 01.01.2026 год 703 270,4 тыс. руб. выпадающих доходов. </w:t>
      </w:r>
    </w:p>
    <w:p>
      <w:pPr>
        <w:ind w:firstLine="709"/>
        <w:spacing/>
        <w:contextualSpacing/>
        <w:jc w:val="both"/>
        <w:widowControl/>
        <w:tabs defTabSz="720">
          <w:tab w:val="left" w:pos="-57"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rPr>
      </w:pPr>
      <w:r>
        <w:rPr>
          <w:color w:val="000000"/>
          <w:sz w:val="24"/>
          <w:szCs w:val="24"/>
        </w:rPr>
        <w:t xml:space="preserve">По Муниципальной программе </w:t>
      </w:r>
      <w:r>
        <w:rPr>
          <w:b/>
          <w:bCs/>
          <w:i/>
          <w:iCs/>
          <w:color w:val="000000"/>
          <w:sz w:val="24"/>
          <w:szCs w:val="24"/>
        </w:rPr>
        <w:t>«Обеспечение доступным и комфортным жильём и коммунальными услугами»</w:t>
      </w:r>
      <w:r>
        <w:rPr>
          <w:color w:val="000000"/>
          <w:sz w:val="24"/>
          <w:szCs w:val="24"/>
        </w:rPr>
        <w:t xml:space="preserve"> на 2022-2027 годы произведена оплата за ремонтные работы муниципального жилья на сумму 511,2 тыс. руб., на ремонт жилого фонда под повторное заселение.</w:t>
      </w:r>
    </w:p>
    <w:p>
      <w:pPr>
        <w:ind w:firstLine="709"/>
        <w:spacing/>
        <w:contextualSpacing/>
        <w:jc w:val="both"/>
        <w:widowControl/>
        <w:tabs defTabSz="720">
          <w:tab w:val="left" w:pos="-57"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rPr>
      </w:pPr>
      <w:r>
        <w:rPr>
          <w:color w:val="000000"/>
          <w:sz w:val="24"/>
          <w:szCs w:val="24"/>
        </w:rPr>
        <w:t xml:space="preserve">Муниципальная программа </w:t>
      </w:r>
      <w:r>
        <w:rPr>
          <w:b/>
          <w:bCs/>
          <w:i/>
          <w:iCs/>
          <w:color w:val="000000"/>
          <w:sz w:val="24"/>
          <w:szCs w:val="24"/>
        </w:rPr>
        <w:t>«Комплексного обеспечения качественного уровня благоустройства территории Анжеро-Судженского городского округа»</w:t>
      </w:r>
      <w:r>
        <w:rPr>
          <w:color w:val="000000"/>
          <w:sz w:val="24"/>
          <w:szCs w:val="24"/>
        </w:rPr>
        <w:t xml:space="preserve">. По данной программе планом предусмотрено 309 929,6 тыс. руб., освоено за 2025 года 273 636,2 тыс. рублей или 88,3 %. По данной программе производилось: содержание дорог в зимний период, вывоз снега, вывоз мусора, промывка ливневой канализации, установлены дорожные знаки. </w:t>
      </w:r>
    </w:p>
    <w:p>
      <w:pPr>
        <w:ind w:firstLine="709"/>
        <w:spacing/>
        <w:contextualSpacing/>
        <w:jc w:val="both"/>
        <w:widowControl/>
        <w:tabs defTabSz="720">
          <w:tab w:val="left" w:pos="-57"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rPr>
      </w:pPr>
      <w:r>
        <w:rPr>
          <w:color w:val="000000"/>
          <w:sz w:val="24"/>
          <w:szCs w:val="24"/>
        </w:rPr>
        <w:t xml:space="preserve">Общая протяжённость городских дорог составляет 490,109 км, в том числе: </w:t>
      </w:r>
    </w:p>
    <w:p>
      <w:pPr>
        <w:ind w:firstLine="709"/>
        <w:spacing/>
        <w:contextualSpacing/>
        <w:jc w:val="both"/>
        <w:widowControl/>
        <w:tabs defTabSz="720">
          <w:tab w:val="left" w:pos="-57"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rPr>
      </w:pPr>
      <w:r>
        <w:rPr>
          <w:color w:val="000000"/>
          <w:sz w:val="24"/>
          <w:szCs w:val="24"/>
        </w:rPr>
        <w:t xml:space="preserve">-магистральных дорог - 131,6 км; </w:t>
      </w:r>
    </w:p>
    <w:p>
      <w:pPr>
        <w:ind w:firstLine="709"/>
        <w:spacing/>
        <w:contextualSpacing/>
        <w:jc w:val="both"/>
        <w:widowControl/>
        <w:tabs defTabSz="720">
          <w:tab w:val="left" w:pos="-57"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rPr>
      </w:pPr>
      <w:r>
        <w:rPr>
          <w:color w:val="000000"/>
          <w:sz w:val="24"/>
          <w:szCs w:val="24"/>
        </w:rPr>
        <w:t xml:space="preserve">-тротуары -35 км; </w:t>
      </w:r>
    </w:p>
    <w:p>
      <w:pPr>
        <w:ind w:firstLine="709"/>
        <w:spacing/>
        <w:contextualSpacing/>
        <w:jc w:val="both"/>
        <w:widowControl/>
        <w:tabs defTabSz="720">
          <w:tab w:val="left" w:pos="-57"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rPr>
      </w:pPr>
      <w:r>
        <w:rPr>
          <w:color w:val="000000"/>
          <w:sz w:val="24"/>
          <w:szCs w:val="24"/>
        </w:rPr>
        <w:t xml:space="preserve">-периферийные дороги - 358,5 км. </w:t>
      </w:r>
    </w:p>
    <w:p>
      <w:pPr>
        <w:ind w:firstLine="709"/>
        <w:spacing/>
        <w:contextualSpacing/>
        <w:jc w:val="both"/>
        <w:widowControl/>
        <w:tabs defTabSz="720">
          <w:tab w:val="left" w:pos="-57"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rPr>
      </w:pPr>
      <w:r>
        <w:rPr>
          <w:color w:val="000000"/>
          <w:sz w:val="24"/>
          <w:szCs w:val="24"/>
        </w:rPr>
      </w:r>
    </w:p>
    <w:p>
      <w:pPr>
        <w:ind w:firstLine="709"/>
        <w:spacing/>
        <w:contextualSpacing/>
        <w:jc w:val="both"/>
        <w:widowControl/>
        <w:tabs defTabSz="720">
          <w:tab w:val="left" w:pos="-57"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rPr>
      </w:pPr>
      <w:r>
        <w:rPr>
          <w:color w:val="000000"/>
          <w:sz w:val="24"/>
          <w:szCs w:val="24"/>
        </w:rPr>
        <w:t>Зимнее содержание осуществлялось в два периода:</w:t>
      </w:r>
    </w:p>
    <w:p>
      <w:pPr>
        <w:ind w:firstLine="709"/>
        <w:spacing/>
        <w:contextualSpacing/>
        <w:jc w:val="both"/>
        <w:widowControl/>
        <w:tabs defTabSz="720">
          <w:tab w:val="left" w:pos="-57"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rPr>
      </w:pPr>
      <w:r>
        <w:rPr>
          <w:color w:val="000000"/>
          <w:sz w:val="24"/>
          <w:szCs w:val="24"/>
        </w:rPr>
        <w:t>-в период с 15.10.2024-15.04.2025 заключено 20 муниципальных контрактов на содержание периферийных дорог и 5 контрактов на содержание магистральных.</w:t>
      </w:r>
    </w:p>
    <w:p>
      <w:pPr>
        <w:ind w:firstLine="709"/>
        <w:spacing/>
        <w:contextualSpacing/>
        <w:jc w:val="both"/>
        <w:widowControl/>
        <w:tabs defTabSz="720">
          <w:tab w:val="left" w:pos="-57"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rPr>
      </w:pPr>
      <w:r>
        <w:rPr>
          <w:color w:val="000000"/>
          <w:sz w:val="24"/>
          <w:szCs w:val="24"/>
        </w:rPr>
        <w:t>-в период  с 15.10 2025г. - по 15.04.2026г заключено 21 муниципальный контракт на содержание периферийных дорог и 6 контрактов на содержание магистральны</w:t>
      </w:r>
    </w:p>
    <w:p>
      <w:pPr>
        <w:ind w:firstLine="709"/>
        <w:spacing/>
        <w:contextualSpacing/>
        <w:jc w:val="both"/>
        <w:widowControl/>
        <w:tabs defTabSz="720">
          <w:tab w:val="left" w:pos="-57"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rPr>
      </w:pPr>
      <w:r>
        <w:rPr>
          <w:color w:val="000000"/>
          <w:sz w:val="24"/>
          <w:szCs w:val="24"/>
        </w:rPr>
      </w:r>
    </w:p>
    <w:p>
      <w:pPr>
        <w:ind w:firstLine="709"/>
        <w:spacing/>
        <w:contextualSpacing/>
        <w:jc w:val="both"/>
        <w:widowControl/>
        <w:tabs defTabSz="720">
          <w:tab w:val="left" w:pos="-57"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rPr>
      </w:pPr>
      <w:r>
        <w:rPr>
          <w:color w:val="000000"/>
          <w:sz w:val="24"/>
          <w:szCs w:val="24"/>
        </w:rPr>
        <w:t xml:space="preserve">На летнее содержание автомобильных дорог заключено 7 контрактов. </w:t>
      </w:r>
    </w:p>
    <w:p>
      <w:pPr>
        <w:pStyle w:val="para115"/>
        <w:ind w:firstLine="737"/>
        <w:spacing/>
        <w:jc w:val="both"/>
        <w:tabs defTabSz="708">
          <w:tab w:val="left" w:pos="708" w:leader="none"/>
          <w:tab w:val="left" w:pos="1900" w:leader="none"/>
        </w:tabs>
        <w:rPr>
          <w:color w:val="000000"/>
          <w:sz w:val="24"/>
          <w:szCs w:val="24"/>
        </w:rPr>
      </w:pPr>
      <w:r>
        <w:rPr>
          <w:color w:val="000000"/>
          <w:sz w:val="24"/>
          <w:szCs w:val="24"/>
        </w:rPr>
        <w:t xml:space="preserve">В летний период был произведён ремонт автомобильных дорог: </w:t>
      </w:r>
    </w:p>
    <w:p>
      <w:pPr>
        <w:pStyle w:val="para115"/>
        <w:ind w:firstLine="737"/>
        <w:spacing/>
        <w:jc w:val="both"/>
        <w:tabs defTabSz="708">
          <w:tab w:val="left" w:pos="708" w:leader="none"/>
          <w:tab w:val="left" w:pos="1900" w:leader="none"/>
        </w:tabs>
        <w:rPr>
          <w:b/>
          <w:color w:val="000000"/>
          <w:sz w:val="24"/>
          <w:szCs w:val="24"/>
        </w:rPr>
      </w:pPr>
      <w:r>
        <w:rPr>
          <w:color w:val="000000"/>
          <w:sz w:val="24"/>
          <w:szCs w:val="24"/>
        </w:rPr>
        <w:t xml:space="preserve">-к садовым обществам -  </w:t>
      </w:r>
      <w:r>
        <w:rPr>
          <w:b/>
          <w:color w:val="000000"/>
          <w:sz w:val="24"/>
          <w:szCs w:val="24"/>
        </w:rPr>
        <w:t>13,5 км</w:t>
      </w:r>
      <w:r>
        <w:rPr>
          <w:b/>
          <w:color w:val="000000"/>
          <w:sz w:val="24"/>
          <w:szCs w:val="24"/>
        </w:rPr>
      </w:r>
    </w:p>
    <w:p>
      <w:pPr>
        <w:pStyle w:val="para115"/>
        <w:ind w:firstLine="737"/>
        <w:spacing/>
        <w:jc w:val="both"/>
        <w:tabs defTabSz="708">
          <w:tab w:val="left" w:pos="708" w:leader="none"/>
          <w:tab w:val="left" w:pos="1900" w:leader="none"/>
        </w:tabs>
        <w:rPr>
          <w:b/>
          <w:color w:val="000000"/>
          <w:sz w:val="24"/>
          <w:szCs w:val="24"/>
        </w:rPr>
      </w:pPr>
      <w:r>
        <w:rPr>
          <w:color w:val="000000"/>
          <w:sz w:val="24"/>
          <w:szCs w:val="24"/>
        </w:rPr>
        <w:t>-аварийный ямочный ремонт к празднованию Дня Победы</w:t>
      </w:r>
      <w:r>
        <w:rPr>
          <w:b/>
          <w:color w:val="000000"/>
          <w:sz w:val="24"/>
          <w:szCs w:val="24"/>
        </w:rPr>
        <w:t>- 222 м2.</w:t>
      </w:r>
      <w:r>
        <w:rPr>
          <w:b/>
          <w:color w:val="000000"/>
          <w:sz w:val="24"/>
          <w:szCs w:val="24"/>
        </w:rPr>
      </w:r>
    </w:p>
    <w:p>
      <w:pPr>
        <w:pStyle w:val="para115"/>
        <w:ind w:firstLine="737"/>
        <w:spacing/>
        <w:jc w:val="both"/>
        <w:tabs defTabSz="708">
          <w:tab w:val="left" w:pos="708" w:leader="none"/>
          <w:tab w:val="left" w:pos="1900" w:leader="none"/>
        </w:tabs>
        <w:rPr>
          <w:b/>
          <w:color w:val="000000"/>
          <w:sz w:val="24"/>
          <w:szCs w:val="24"/>
        </w:rPr>
      </w:pPr>
      <w:r>
        <w:rPr>
          <w:color w:val="000000"/>
          <w:sz w:val="24"/>
          <w:szCs w:val="24"/>
        </w:rPr>
        <w:t>-устранена  пучина на а/дороге по ул.Матросова,</w:t>
      </w:r>
      <w:r>
        <w:rPr>
          <w:b/>
          <w:color w:val="000000"/>
          <w:sz w:val="24"/>
          <w:szCs w:val="24"/>
        </w:rPr>
        <w:t>121- 120м2.</w:t>
      </w:r>
      <w:r>
        <w:rPr>
          <w:b/>
          <w:color w:val="000000"/>
          <w:sz w:val="24"/>
          <w:szCs w:val="24"/>
        </w:rPr>
      </w:r>
    </w:p>
    <w:p>
      <w:pPr>
        <w:pStyle w:val="para115"/>
        <w:ind w:firstLine="737"/>
        <w:spacing/>
        <w:jc w:val="both"/>
        <w:tabs defTabSz="708">
          <w:tab w:val="left" w:pos="708" w:leader="none"/>
          <w:tab w:val="left" w:pos="1900" w:leader="none"/>
        </w:tabs>
        <w:rPr>
          <w:b/>
          <w:color w:val="000000"/>
          <w:sz w:val="24"/>
          <w:szCs w:val="24"/>
        </w:rPr>
      </w:pPr>
      <w:r>
        <w:rPr>
          <w:color w:val="000000"/>
          <w:sz w:val="24"/>
          <w:szCs w:val="24"/>
        </w:rPr>
        <w:t>-ямочный ремонт на мостовых сооружениях и путепроводах -</w:t>
      </w:r>
      <w:r>
        <w:rPr>
          <w:b/>
          <w:color w:val="000000"/>
          <w:sz w:val="24"/>
          <w:szCs w:val="24"/>
        </w:rPr>
        <w:t>247 м2.</w:t>
      </w:r>
      <w:r>
        <w:rPr>
          <w:b/>
          <w:color w:val="000000"/>
          <w:sz w:val="24"/>
          <w:szCs w:val="24"/>
        </w:rPr>
      </w:r>
    </w:p>
    <w:p>
      <w:pPr>
        <w:pStyle w:val="para115"/>
        <w:ind w:firstLine="737"/>
        <w:spacing/>
        <w:jc w:val="both"/>
        <w:tabs defTabSz="708">
          <w:tab w:val="left" w:pos="708" w:leader="none"/>
          <w:tab w:val="left" w:pos="1900" w:leader="none"/>
        </w:tabs>
        <w:rPr>
          <w:b/>
          <w:bCs/>
          <w:color w:val="000000"/>
          <w:sz w:val="24"/>
          <w:szCs w:val="24"/>
        </w:rPr>
      </w:pPr>
      <w:r>
        <w:rPr>
          <w:color w:val="000000"/>
          <w:sz w:val="24"/>
          <w:szCs w:val="24"/>
        </w:rPr>
        <w:t xml:space="preserve">-ямочный ремонт автомобильных дорог- </w:t>
      </w:r>
      <w:r>
        <w:rPr>
          <w:b/>
          <w:bCs/>
          <w:color w:val="000000"/>
          <w:sz w:val="24"/>
          <w:szCs w:val="24"/>
        </w:rPr>
        <w:t>15210,6 м2;</w:t>
      </w:r>
      <w:r>
        <w:rPr>
          <w:b/>
          <w:bCs/>
          <w:color w:val="000000"/>
          <w:sz w:val="24"/>
          <w:szCs w:val="24"/>
        </w:rPr>
      </w:r>
    </w:p>
    <w:p>
      <w:pPr>
        <w:pStyle w:val="para115"/>
        <w:ind w:firstLine="737"/>
        <w:spacing/>
        <w:jc w:val="both"/>
        <w:tabs defTabSz="708">
          <w:tab w:val="left" w:pos="708" w:leader="none"/>
          <w:tab w:val="left" w:pos="1900" w:leader="none"/>
        </w:tabs>
        <w:rPr>
          <w:b/>
          <w:bCs/>
          <w:color w:val="000000"/>
          <w:sz w:val="24"/>
          <w:szCs w:val="24"/>
        </w:rPr>
      </w:pPr>
      <w:r>
        <w:rPr>
          <w:color w:val="000000"/>
          <w:sz w:val="24"/>
          <w:szCs w:val="24"/>
        </w:rPr>
        <w:t xml:space="preserve">-аварийный ямочный на автодорогах- </w:t>
      </w:r>
      <w:r>
        <w:rPr>
          <w:b/>
          <w:bCs/>
          <w:color w:val="000000"/>
          <w:sz w:val="24"/>
          <w:szCs w:val="24"/>
        </w:rPr>
        <w:t>260 м2.</w:t>
      </w:r>
      <w:r>
        <w:rPr>
          <w:b/>
          <w:bCs/>
          <w:color w:val="000000"/>
          <w:sz w:val="24"/>
          <w:szCs w:val="24"/>
        </w:rPr>
      </w:r>
    </w:p>
    <w:p>
      <w:pPr>
        <w:pStyle w:val="para115"/>
        <w:ind w:firstLine="737"/>
        <w:spacing/>
        <w:jc w:val="both"/>
        <w:tabs defTabSz="708">
          <w:tab w:val="left" w:pos="708" w:leader="none"/>
          <w:tab w:val="left" w:pos="1900" w:leader="none"/>
        </w:tabs>
        <w:rPr>
          <w:b/>
          <w:color w:val="000000"/>
          <w:sz w:val="24"/>
          <w:szCs w:val="24"/>
        </w:rPr>
      </w:pPr>
      <w:r>
        <w:rPr>
          <w:color w:val="000000"/>
          <w:sz w:val="24"/>
          <w:szCs w:val="24"/>
        </w:rPr>
        <w:t xml:space="preserve">-ремонт автомобильной дороги ул.Водоканальная (участок от мясокомбината в сторону пос.Красная Звезда- </w:t>
      </w:r>
      <w:r>
        <w:rPr>
          <w:b/>
          <w:color w:val="000000"/>
          <w:sz w:val="24"/>
          <w:szCs w:val="24"/>
        </w:rPr>
        <w:t>2,3 км</w:t>
      </w:r>
      <w:r>
        <w:rPr>
          <w:b/>
          <w:color w:val="000000"/>
          <w:sz w:val="24"/>
          <w:szCs w:val="24"/>
        </w:rPr>
      </w:r>
    </w:p>
    <w:p>
      <w:pPr>
        <w:pStyle w:val="para115"/>
        <w:ind w:firstLine="737"/>
        <w:spacing/>
        <w:jc w:val="both"/>
        <w:tabs defTabSz="708">
          <w:tab w:val="left" w:pos="708" w:leader="none"/>
          <w:tab w:val="left" w:pos="1900" w:leader="none"/>
        </w:tabs>
        <w:rPr>
          <w:b/>
          <w:color w:val="000000"/>
          <w:sz w:val="24"/>
          <w:szCs w:val="24"/>
        </w:rPr>
      </w:pPr>
      <w:r>
        <w:rPr>
          <w:color w:val="000000"/>
          <w:sz w:val="24"/>
          <w:szCs w:val="24"/>
        </w:rPr>
        <w:t xml:space="preserve">-текущий  ремонт грунтовых дорог - </w:t>
      </w:r>
      <w:r>
        <w:rPr>
          <w:b/>
          <w:color w:val="000000"/>
          <w:sz w:val="24"/>
          <w:szCs w:val="24"/>
        </w:rPr>
        <w:t xml:space="preserve">74,59 км, </w:t>
      </w:r>
      <w:r>
        <w:rPr>
          <w:b/>
          <w:color w:val="000000"/>
          <w:sz w:val="24"/>
          <w:szCs w:val="24"/>
        </w:rPr>
      </w:r>
    </w:p>
    <w:p>
      <w:pPr>
        <w:pStyle w:val="para115"/>
        <w:ind w:firstLine="737"/>
        <w:spacing/>
        <w:jc w:val="both"/>
        <w:tabs defTabSz="708">
          <w:tab w:val="left" w:pos="708" w:leader="none"/>
          <w:tab w:val="left" w:pos="1900" w:leader="none"/>
        </w:tabs>
        <w:rPr>
          <w:b/>
          <w:color w:val="000000"/>
          <w:sz w:val="24"/>
          <w:szCs w:val="24"/>
        </w:rPr>
      </w:pPr>
      <w:r>
        <w:rPr>
          <w:color w:val="000000"/>
          <w:sz w:val="24"/>
          <w:szCs w:val="24"/>
        </w:rPr>
        <w:t xml:space="preserve">-устранение провалов  и промоин на автодорогах и снятие аварийной ситуации на грунтовых дорогах - </w:t>
      </w:r>
      <w:r>
        <w:rPr>
          <w:b/>
          <w:color w:val="000000"/>
          <w:sz w:val="24"/>
          <w:szCs w:val="24"/>
        </w:rPr>
        <w:t>16 км.</w:t>
      </w:r>
      <w:r>
        <w:rPr>
          <w:b/>
          <w:color w:val="000000"/>
          <w:sz w:val="24"/>
          <w:szCs w:val="24"/>
        </w:rPr>
      </w:r>
    </w:p>
    <w:p>
      <w:pPr>
        <w:ind w:firstLine="709"/>
        <w:spacing/>
        <w:contextualSpacing/>
        <w:jc w:val="both"/>
        <w:widowControl/>
        <w:tabs defTabSz="720">
          <w:tab w:val="left" w:pos="-57"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r>
    </w:p>
    <w:p>
      <w:pPr>
        <w:ind w:firstLine="709"/>
        <w:spacing/>
        <w:contextualSpacing/>
        <w:jc w:val="both"/>
        <w:widowControl/>
        <w:tabs defTabSz="720">
          <w:tab w:val="left" w:pos="-57"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t xml:space="preserve">За отчётный период при очистке дорог вывезено </w:t>
      </w:r>
      <w:r>
        <w:rPr>
          <w:b/>
          <w:bCs/>
          <w:color w:val="000000"/>
          <w:sz w:val="24"/>
          <w:szCs w:val="24"/>
          <w:lang w:eastAsia="ru-ru"/>
        </w:rPr>
        <w:t>116 326 м</w:t>
      </w:r>
      <w:r>
        <w:rPr>
          <w:b/>
          <w:bCs/>
          <w:color w:val="000000"/>
          <w:sz w:val="24"/>
          <w:szCs w:val="24"/>
          <w:vertAlign w:val="superscript"/>
          <w:lang w:eastAsia="ru-ru"/>
        </w:rPr>
        <w:t>3</w:t>
      </w:r>
      <w:r>
        <w:rPr>
          <w:color w:val="000000"/>
          <w:sz w:val="24"/>
          <w:szCs w:val="24"/>
        </w:rPr>
        <w:t xml:space="preserve"> снега. </w:t>
      </w:r>
      <w:r>
        <w:rPr>
          <w:color w:val="000000"/>
          <w:sz w:val="24"/>
          <w:szCs w:val="24"/>
        </w:rPr>
      </w:r>
    </w:p>
    <w:p>
      <w:pPr>
        <w:pStyle w:val="para115"/>
        <w:ind w:firstLine="709"/>
        <w:spacing/>
        <w:contextualSpacing/>
        <w:jc w:val="both"/>
        <w:widowControl/>
        <w:tabs defTabSz="708">
          <w:tab w:val="left" w:pos="708" w:leader="none"/>
          <w:tab w:val="left" w:pos="1900" w:leader="none"/>
        </w:tabs>
        <w:rPr>
          <w:color w:val="000000"/>
          <w:sz w:val="24"/>
          <w:szCs w:val="24"/>
        </w:rPr>
      </w:pPr>
      <w:r>
        <w:rPr>
          <w:color w:val="000000"/>
          <w:sz w:val="24"/>
          <w:szCs w:val="24"/>
        </w:rPr>
      </w:r>
    </w:p>
    <w:p>
      <w:pPr>
        <w:pStyle w:val="para115"/>
        <w:ind w:firstLine="709"/>
        <w:spacing/>
        <w:contextualSpacing/>
        <w:jc w:val="both"/>
        <w:widowControl/>
        <w:tabs defTabSz="708">
          <w:tab w:val="left" w:pos="708" w:leader="none"/>
          <w:tab w:val="left" w:pos="1900" w:leader="none"/>
        </w:tabs>
        <w:rPr>
          <w:color w:val="000000"/>
          <w:sz w:val="24"/>
          <w:szCs w:val="24"/>
        </w:rPr>
      </w:pPr>
      <w:r>
        <w:rPr>
          <w:color w:val="000000"/>
          <w:sz w:val="24"/>
          <w:szCs w:val="24"/>
        </w:rPr>
        <w:t>В течении 2025 года было промыто 256 основных труб на территории городского округа и</w:t>
      </w:r>
      <w:r>
        <w:rPr>
          <w:b/>
          <w:bCs/>
          <w:color w:val="000000"/>
          <w:sz w:val="24"/>
          <w:szCs w:val="24"/>
        </w:rPr>
        <w:t xml:space="preserve"> </w:t>
      </w:r>
      <w:r>
        <w:rPr>
          <w:color w:val="000000"/>
          <w:sz w:val="24"/>
          <w:szCs w:val="24"/>
        </w:rPr>
        <w:t>43</w:t>
      </w:r>
      <w:r>
        <w:rPr>
          <w:b/>
          <w:bCs/>
          <w:color w:val="000000"/>
          <w:sz w:val="24"/>
          <w:szCs w:val="24"/>
        </w:rPr>
        <w:t xml:space="preserve"> </w:t>
      </w:r>
      <w:r>
        <w:rPr>
          <w:color w:val="000000"/>
          <w:sz w:val="24"/>
          <w:szCs w:val="24"/>
        </w:rPr>
        <w:t xml:space="preserve">трубы в пгт Рудничный. </w:t>
      </w:r>
      <w:r>
        <w:rPr>
          <w:color w:val="000000"/>
          <w:sz w:val="24"/>
          <w:szCs w:val="24"/>
        </w:rPr>
      </w:r>
    </w:p>
    <w:p>
      <w:pPr>
        <w:pStyle w:val="para115"/>
        <w:ind w:firstLine="709"/>
        <w:spacing/>
        <w:contextualSpacing/>
        <w:jc w:val="both"/>
        <w:widowControl/>
        <w:tabs defTabSz="708">
          <w:tab w:val="left" w:pos="-57" w:leader="none"/>
          <w:tab w:val="left" w:pos="1900" w:leader="none"/>
        </w:tabs>
        <w:rPr>
          <w:bCs/>
          <w:color w:val="000000"/>
          <w:sz w:val="22"/>
          <w:szCs w:val="22"/>
        </w:rPr>
      </w:pPr>
      <w:r>
        <w:rPr>
          <w:color w:val="000000"/>
          <w:sz w:val="24"/>
          <w:szCs w:val="24"/>
        </w:rPr>
        <w:t xml:space="preserve">В течении отчётного периода осуществлялось содержание ливневых канализаций общей протяжённостью 6,9 км (130 ливневых решёток и колодцев). При очистке кюветов было вывезено </w:t>
      </w:r>
      <w:r>
        <w:rPr>
          <w:b/>
          <w:bCs/>
          <w:color w:val="000000"/>
          <w:sz w:val="24"/>
          <w:szCs w:val="24"/>
        </w:rPr>
        <w:t>2719 м</w:t>
      </w:r>
      <w:r>
        <w:rPr>
          <w:b/>
          <w:bCs/>
          <w:color w:val="000000"/>
          <w:sz w:val="24"/>
          <w:szCs w:val="24"/>
          <w:vertAlign w:val="superscript"/>
        </w:rPr>
        <w:t>3</w:t>
      </w:r>
      <w:r>
        <w:rPr>
          <w:color w:val="000000"/>
          <w:sz w:val="24"/>
          <w:szCs w:val="24"/>
        </w:rPr>
        <w:t xml:space="preserve"> снега (ул. Станционная, ул. Автомобилистов, ул. Мира, ул. Куйбышева, Курортная, ул. Матросова). Произведены работы по вскрытию кюветов вдоль магистральных и периферийных дорог протяжённостью </w:t>
      </w:r>
      <w:r>
        <w:rPr>
          <w:b/>
          <w:color w:val="000000"/>
          <w:sz w:val="24"/>
          <w:szCs w:val="24"/>
        </w:rPr>
        <w:t>2850 м.</w:t>
      </w:r>
      <w:r>
        <w:rPr>
          <w:b/>
          <w:bCs/>
          <w:color w:val="000000"/>
          <w:sz w:val="24"/>
          <w:szCs w:val="24"/>
        </w:rPr>
        <w:t xml:space="preserve"> </w:t>
      </w:r>
      <w:r>
        <w:rPr>
          <w:b/>
          <w:bCs/>
          <w:color w:val="000000"/>
          <w:sz w:val="24"/>
          <w:szCs w:val="24"/>
        </w:rPr>
        <w:t xml:space="preserve"> </w:t>
      </w:r>
      <w:r>
        <w:rPr>
          <w:bCs/>
          <w:color w:val="000000"/>
          <w:sz w:val="22"/>
          <w:szCs w:val="22"/>
        </w:rPr>
        <w:tab/>
      </w:r>
      <w:r>
        <w:rPr>
          <w:bCs/>
          <w:color w:val="000000"/>
          <w:sz w:val="22"/>
          <w:szCs w:val="22"/>
        </w:rPr>
      </w:r>
    </w:p>
    <w:p>
      <w:pPr>
        <w:pStyle w:val="para115"/>
        <w:ind w:firstLine="709"/>
        <w:spacing/>
        <w:contextualSpacing/>
        <w:jc w:val="both"/>
        <w:widowControl/>
        <w:tabs defTabSz="708">
          <w:tab w:val="left" w:pos="-57" w:leader="none"/>
          <w:tab w:val="left" w:pos="1900" w:leader="none"/>
        </w:tabs>
        <w:rPr>
          <w:color w:val="000000"/>
          <w:sz w:val="24"/>
          <w:szCs w:val="24"/>
        </w:rPr>
      </w:pPr>
      <w:r>
        <w:rPr>
          <w:color w:val="000000"/>
          <w:sz w:val="24"/>
          <w:szCs w:val="24"/>
        </w:rPr>
        <w:t xml:space="preserve">В летний период   также производилась очистка кюветов (230 м) с заменой труб (4 шт), очистка оголовков труб с вырубкой поросли (пер.3-й Химический, ул.М.Горького, ул.Желябова, ул.Сеченова,6, ул.Репина). </w:t>
      </w:r>
    </w:p>
    <w:p>
      <w:pPr>
        <w:pStyle w:val="para115"/>
        <w:ind w:firstLine="709"/>
        <w:spacing/>
        <w:contextualSpacing/>
        <w:jc w:val="both"/>
        <w:widowControl/>
        <w:tabs defTabSz="708">
          <w:tab w:val="left" w:pos="-57" w:leader="none"/>
          <w:tab w:val="left" w:pos="1900" w:leader="none"/>
        </w:tabs>
        <w:rPr>
          <w:color w:val="000000"/>
          <w:sz w:val="24"/>
          <w:szCs w:val="24"/>
        </w:rPr>
      </w:pPr>
      <w:r>
        <w:rPr>
          <w:color w:val="000000"/>
          <w:sz w:val="24"/>
          <w:szCs w:val="24"/>
        </w:rPr>
      </w:r>
    </w:p>
    <w:p>
      <w:pPr>
        <w:pStyle w:val="para115"/>
        <w:ind w:firstLine="709"/>
        <w:spacing/>
        <w:contextualSpacing/>
        <w:jc w:val="both"/>
        <w:widowControl/>
        <w:tabs defTabSz="708">
          <w:tab w:val="left" w:pos="-57" w:leader="none"/>
          <w:tab w:val="left" w:pos="1900" w:leader="none"/>
        </w:tabs>
        <w:rPr>
          <w:bCs/>
          <w:color w:val="000000"/>
          <w:sz w:val="24"/>
          <w:szCs w:val="24"/>
        </w:rPr>
      </w:pPr>
      <w:r>
        <w:rPr>
          <w:color w:val="000000"/>
          <w:sz w:val="24"/>
          <w:szCs w:val="24"/>
        </w:rPr>
        <w:t>Произведены  ремонт</w:t>
      </w:r>
      <w:r>
        <w:rPr>
          <w:b/>
          <w:bCs/>
          <w:color w:val="000000"/>
          <w:sz w:val="24"/>
          <w:szCs w:val="24"/>
        </w:rPr>
        <w:t xml:space="preserve"> 192 дорожных знаков </w:t>
      </w:r>
      <w:r>
        <w:rPr>
          <w:color w:val="000000"/>
          <w:sz w:val="24"/>
          <w:szCs w:val="24"/>
        </w:rPr>
        <w:t>и установлены</w:t>
      </w:r>
      <w:r>
        <w:rPr>
          <w:bCs/>
          <w:color w:val="000000"/>
          <w:sz w:val="24"/>
          <w:szCs w:val="24"/>
        </w:rPr>
        <w:t xml:space="preserve"> </w:t>
      </w:r>
      <w:r>
        <w:rPr>
          <w:b/>
          <w:bCs/>
          <w:color w:val="000000"/>
          <w:sz w:val="24"/>
          <w:szCs w:val="24"/>
        </w:rPr>
        <w:t>33 новых</w:t>
      </w:r>
      <w:r>
        <w:rPr>
          <w:bCs/>
          <w:color w:val="000000"/>
          <w:sz w:val="24"/>
          <w:szCs w:val="24"/>
        </w:rPr>
        <w:t xml:space="preserve"> (приобретено было 90 шт. новых знаков).</w:t>
      </w:r>
      <w:r>
        <w:rPr>
          <w:bCs/>
          <w:color w:val="000000"/>
          <w:sz w:val="24"/>
          <w:szCs w:val="24"/>
        </w:rPr>
      </w:r>
    </w:p>
    <w:p>
      <w:pPr>
        <w:pStyle w:val="para115"/>
        <w:ind w:firstLine="709"/>
        <w:spacing/>
        <w:contextualSpacing/>
        <w:jc w:val="both"/>
        <w:widowControl/>
        <w:tabs defTabSz="708">
          <w:tab w:val="left" w:pos="-57" w:leader="none"/>
          <w:tab w:val="left" w:pos="1900" w:leader="none"/>
        </w:tabs>
        <w:rPr>
          <w:color w:val="000000"/>
          <w:sz w:val="24"/>
          <w:szCs w:val="24"/>
        </w:rPr>
      </w:pPr>
      <w:r>
        <w:rPr>
          <w:color w:val="000000"/>
          <w:sz w:val="24"/>
          <w:szCs w:val="24"/>
        </w:rPr>
        <w:t>Так же осуществлено обслуживание</w:t>
      </w:r>
      <w:r>
        <w:rPr>
          <w:b/>
          <w:bCs/>
          <w:color w:val="000000"/>
          <w:sz w:val="24"/>
          <w:szCs w:val="24"/>
        </w:rPr>
        <w:t xml:space="preserve"> 176 остановочных павильонов </w:t>
      </w:r>
      <w:r>
        <w:rPr>
          <w:color w:val="000000"/>
          <w:sz w:val="24"/>
          <w:szCs w:val="24"/>
        </w:rPr>
        <w:t>в городском округе</w:t>
      </w:r>
      <w:r>
        <w:rPr>
          <w:b/>
          <w:bCs/>
          <w:color w:val="000000"/>
          <w:sz w:val="24"/>
          <w:szCs w:val="24"/>
        </w:rPr>
        <w:t xml:space="preserve"> и 10 остановочных павильонов </w:t>
      </w:r>
      <w:r>
        <w:rPr>
          <w:color w:val="000000"/>
          <w:sz w:val="24"/>
          <w:szCs w:val="24"/>
        </w:rPr>
        <w:t>в пгт. Рудничный.</w:t>
      </w:r>
      <w:r>
        <w:rPr>
          <w:color w:val="000000"/>
          <w:sz w:val="24"/>
          <w:szCs w:val="24"/>
        </w:rPr>
      </w:r>
    </w:p>
    <w:p>
      <w:pPr>
        <w:pStyle w:val="para115"/>
        <w:spacing/>
        <w:jc w:val="both"/>
        <w:tabs defTabSz="708">
          <w:tab w:val="left" w:pos="708" w:leader="none"/>
          <w:tab w:val="left" w:pos="1900" w:leader="none"/>
        </w:tabs>
        <w:rPr>
          <w:color w:val="000000"/>
          <w:sz w:val="24"/>
          <w:szCs w:val="24"/>
        </w:rPr>
      </w:pPr>
      <w:r>
        <w:rPr>
          <w:color w:val="000000"/>
          <w:sz w:val="24"/>
          <w:szCs w:val="24"/>
        </w:rPr>
        <w:tab/>
        <w:t>В летний период  установили 7 новых остановочных павильонов и 2 павильона отремонтированы. В 15 павильонах были заменены урны.</w:t>
      </w:r>
    </w:p>
    <w:p>
      <w:pPr>
        <w:pStyle w:val="para115"/>
        <w:ind w:firstLine="794"/>
        <w:spacing/>
        <w:jc w:val="both"/>
        <w:tabs defTabSz="708">
          <w:tab w:val="left" w:pos="708" w:leader="none"/>
          <w:tab w:val="left" w:pos="1900" w:leader="none"/>
        </w:tabs>
        <w:rPr>
          <w:color w:val="000000"/>
          <w:sz w:val="28"/>
          <w:szCs w:val="28"/>
        </w:rPr>
      </w:pPr>
      <w:r>
        <w:rPr>
          <w:color w:val="000000"/>
          <w:sz w:val="28"/>
          <w:szCs w:val="28"/>
        </w:rPr>
      </w:r>
    </w:p>
    <w:p>
      <w:pPr>
        <w:pStyle w:val="para115"/>
        <w:ind w:firstLine="709"/>
        <w:spacing/>
        <w:jc w:val="both"/>
        <w:tabs defTabSz="708">
          <w:tab w:val="left" w:pos="708" w:leader="none"/>
          <w:tab w:val="left" w:pos="1900" w:leader="none"/>
        </w:tabs>
        <w:rPr>
          <w:b/>
          <w:bCs/>
          <w:color w:val="000000"/>
          <w:sz w:val="24"/>
          <w:szCs w:val="24"/>
        </w:rPr>
      </w:pPr>
      <w:r>
        <w:rPr>
          <w:color w:val="000000"/>
          <w:sz w:val="24"/>
          <w:szCs w:val="24"/>
        </w:rPr>
        <w:t xml:space="preserve">Протяжённость уличного освещения муниципалитета (включая пгт Рудничный) составляет </w:t>
      </w:r>
      <w:r>
        <w:rPr>
          <w:b/>
          <w:bCs/>
          <w:color w:val="000000"/>
          <w:sz w:val="24"/>
          <w:szCs w:val="24"/>
        </w:rPr>
        <w:t>110 км</w:t>
      </w:r>
      <w:r>
        <w:rPr>
          <w:color w:val="000000"/>
          <w:sz w:val="24"/>
          <w:szCs w:val="24"/>
        </w:rPr>
        <w:t xml:space="preserve">. На обслуживании   находится </w:t>
      </w:r>
      <w:r>
        <w:rPr>
          <w:b/>
          <w:bCs/>
          <w:color w:val="000000"/>
          <w:sz w:val="24"/>
          <w:szCs w:val="24"/>
        </w:rPr>
        <w:t>2760</w:t>
      </w:r>
      <w:r>
        <w:rPr>
          <w:color w:val="000000"/>
          <w:sz w:val="24"/>
          <w:szCs w:val="24"/>
        </w:rPr>
        <w:t>   светильников.  Заключены контракты с  подрядными организациями: МБУ РЭС и ИП Геворгян Н.А. Произведена правка опор уличного освещения и окрашивание, установка новых опор.</w:t>
      </w:r>
      <w:r>
        <w:rPr>
          <w:b/>
          <w:bCs/>
          <w:color w:val="000000"/>
          <w:sz w:val="24"/>
          <w:szCs w:val="24"/>
        </w:rPr>
        <w:t> </w:t>
      </w:r>
      <w:r>
        <w:rPr>
          <w:b/>
          <w:bCs/>
          <w:color w:val="000000"/>
          <w:sz w:val="24"/>
          <w:szCs w:val="24"/>
        </w:rPr>
      </w:r>
    </w:p>
    <w:p>
      <w:pPr>
        <w:pStyle w:val="para115"/>
        <w:ind w:firstLine="709"/>
        <w:spacing/>
        <w:jc w:val="both"/>
        <w:tabs defTabSz="708">
          <w:tab w:val="left" w:pos="708" w:leader="none"/>
          <w:tab w:val="left" w:pos="1900" w:leader="none"/>
        </w:tabs>
        <w:rPr>
          <w:b/>
          <w:bCs/>
          <w:color w:val="000000"/>
          <w:sz w:val="24"/>
          <w:szCs w:val="24"/>
        </w:rPr>
      </w:pPr>
      <w:r>
        <w:rPr>
          <w:color w:val="000000"/>
          <w:sz w:val="24"/>
          <w:szCs w:val="24"/>
        </w:rPr>
        <w:t>Провели клещевую обработку в местах массового отдыха и пребывания населения общей площадью</w:t>
      </w:r>
      <w:r>
        <w:rPr>
          <w:b/>
          <w:bCs/>
          <w:color w:val="000000"/>
          <w:sz w:val="24"/>
          <w:szCs w:val="24"/>
        </w:rPr>
        <w:t xml:space="preserve"> 205750 кв.м.</w:t>
      </w:r>
      <w:r>
        <w:rPr>
          <w:b/>
          <w:bCs/>
          <w:color w:val="000000"/>
          <w:sz w:val="24"/>
          <w:szCs w:val="24"/>
        </w:rPr>
      </w:r>
    </w:p>
    <w:p>
      <w:pPr>
        <w:pStyle w:val="para115"/>
        <w:ind w:firstLine="709"/>
        <w:spacing/>
        <w:jc w:val="both"/>
        <w:tabs defTabSz="708">
          <w:tab w:val="left" w:pos="708" w:leader="none"/>
          <w:tab w:val="left" w:pos="1900" w:leader="none"/>
        </w:tabs>
        <w:rPr>
          <w:color w:val="000000"/>
          <w:sz w:val="24"/>
          <w:szCs w:val="24"/>
        </w:rPr>
      </w:pPr>
      <w:r>
        <w:rPr>
          <w:color w:val="000000"/>
          <w:sz w:val="24"/>
          <w:szCs w:val="24"/>
        </w:rPr>
        <w:t xml:space="preserve">В летний период производилось на окашивание газонов (ИП Кузнецов Д.А.) общей площадью </w:t>
      </w:r>
      <w:r>
        <w:rPr>
          <w:b/>
          <w:bCs/>
          <w:color w:val="000000"/>
          <w:sz w:val="24"/>
          <w:szCs w:val="24"/>
        </w:rPr>
        <w:t xml:space="preserve">282356 м2., </w:t>
      </w:r>
      <w:r>
        <w:rPr>
          <w:color w:val="000000"/>
          <w:sz w:val="24"/>
          <w:szCs w:val="24"/>
        </w:rPr>
        <w:t xml:space="preserve">окашивание обочин площадью </w:t>
      </w:r>
      <w:r>
        <w:rPr>
          <w:b/>
          <w:bCs/>
          <w:color w:val="000000"/>
          <w:sz w:val="24"/>
          <w:szCs w:val="24"/>
        </w:rPr>
        <w:t>764,25 км.</w:t>
      </w:r>
      <w:r>
        <w:rPr>
          <w:color w:val="000000"/>
          <w:sz w:val="24"/>
          <w:szCs w:val="24"/>
        </w:rPr>
        <w:t xml:space="preserve"> Посажено 60 тысяч цветов.</w:t>
      </w:r>
      <w:r>
        <w:rPr>
          <w:color w:val="000000"/>
          <w:sz w:val="24"/>
          <w:szCs w:val="24"/>
        </w:rPr>
      </w:r>
    </w:p>
    <w:p>
      <w:pPr>
        <w:ind w:firstLine="709"/>
        <w:spacing/>
        <w:jc w:val="both"/>
        <w:tabs defTabSz="708">
          <w:tab w:val="left" w:pos="1900" w:leader="none"/>
        </w:tabs>
        <w:rPr>
          <w:b/>
          <w:color w:val="000000"/>
          <w:sz w:val="24"/>
          <w:szCs w:val="24"/>
        </w:rPr>
      </w:pPr>
      <w:r>
        <w:rPr>
          <w:b/>
          <w:color w:val="000000"/>
          <w:sz w:val="24"/>
          <w:szCs w:val="24"/>
        </w:rPr>
      </w:r>
    </w:p>
    <w:p>
      <w:pPr>
        <w:ind w:firstLine="709"/>
        <w:spacing/>
        <w:jc w:val="both"/>
        <w:tabs defTabSz="708">
          <w:tab w:val="left" w:pos="1900" w:leader="none"/>
        </w:tabs>
        <w:rPr>
          <w:b/>
          <w:color w:val="000000"/>
          <w:sz w:val="24"/>
          <w:szCs w:val="24"/>
        </w:rPr>
      </w:pPr>
      <w:r>
        <w:rPr>
          <w:color w:val="000000"/>
          <w:sz w:val="24"/>
          <w:szCs w:val="24"/>
        </w:rPr>
        <w:t>В 2025г. поступило 31 обращение от семей мобилизованных. Производились работы по вывозу снега  и  очистке прилегающей территории к жилым домам, ремонт грунтовых дорог, очистка водопропускных труб, укладка водопропускных труб. Общая сумма выполненных работ составила</w:t>
      </w:r>
      <w:r>
        <w:rPr>
          <w:b/>
          <w:color w:val="000000"/>
          <w:sz w:val="24"/>
          <w:szCs w:val="24"/>
        </w:rPr>
        <w:t xml:space="preserve"> 1027035,55</w:t>
      </w:r>
      <w:r>
        <w:rPr>
          <w:b/>
          <w:color w:val="000000"/>
          <w:sz w:val="24"/>
          <w:szCs w:val="24"/>
        </w:rPr>
        <w:t xml:space="preserve"> руб</w:t>
      </w:r>
      <w:r>
        <w:rPr>
          <w:b/>
          <w:color w:val="000000"/>
          <w:sz w:val="24"/>
          <w:szCs w:val="24"/>
        </w:rPr>
        <w:t>.</w:t>
      </w:r>
      <w:r>
        <w:rPr>
          <w:b/>
          <w:color w:val="000000"/>
          <w:sz w:val="24"/>
          <w:szCs w:val="24"/>
        </w:rPr>
      </w:r>
    </w:p>
    <w:p>
      <w:pPr>
        <w:pStyle w:val="para115"/>
        <w:ind w:firstLine="709"/>
        <w:spacing/>
        <w:jc w:val="both"/>
        <w:tabs defTabSz="708">
          <w:tab w:val="left" w:pos="708" w:leader="none"/>
          <w:tab w:val="left" w:pos="1900" w:leader="none"/>
        </w:tabs>
        <w:rPr>
          <w:color w:val="000000"/>
          <w:sz w:val="24"/>
          <w:szCs w:val="24"/>
        </w:rPr>
      </w:pPr>
      <w:r>
        <w:rPr>
          <w:color w:val="000000"/>
          <w:sz w:val="24"/>
          <w:szCs w:val="24"/>
        </w:rPr>
        <w:t xml:space="preserve"> </w:t>
      </w:r>
    </w:p>
    <w:p>
      <w:pPr>
        <w:ind w:firstLine="709"/>
        <w:spacing/>
        <w:contextualSpacing/>
        <w:jc w:val="both"/>
        <w:widowControl/>
        <w:tabs defTabSz="720">
          <w:tab w:val="left" w:pos="-57"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rPr>
      </w:pPr>
      <w:r>
        <w:rPr>
          <w:color w:val="000000"/>
          <w:sz w:val="24"/>
          <w:szCs w:val="24"/>
        </w:rPr>
        <w:t xml:space="preserve">В 2025 году на реализацию мероприятий муниципальной программы </w:t>
      </w:r>
      <w:r>
        <w:rPr>
          <w:b/>
          <w:bCs/>
          <w:i/>
          <w:iCs/>
          <w:color w:val="000000"/>
          <w:sz w:val="24"/>
          <w:szCs w:val="24"/>
        </w:rPr>
        <w:t>«Формирование современной городской среды на территории Анжеро-Судженского городского округа»</w:t>
      </w:r>
      <w:r>
        <w:rPr>
          <w:color w:val="000000"/>
          <w:sz w:val="24"/>
          <w:szCs w:val="24"/>
        </w:rPr>
        <w:t xml:space="preserve"> на период 2022-2027гг. было предусмотрено 1 483,5 тыс. руб. (благоустройство общественных территорий). На 01.01.2026 финансирование составило 1 483,5 тыс. рублей.</w:t>
      </w:r>
    </w:p>
    <w:p>
      <w:pPr>
        <w:ind w:firstLine="709"/>
        <w:spacing/>
        <w:contextualSpacing/>
        <w:jc w:val="both"/>
        <w:widowControl/>
        <w:tabs defTabSz="720">
          <w:tab w:val="left" w:pos="-57"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rPr>
      </w:pPr>
      <w:r>
        <w:rPr>
          <w:color w:val="000000"/>
          <w:sz w:val="24"/>
          <w:szCs w:val="24"/>
        </w:rPr>
        <w:t>Выполнены работы по техническому учёту, диагностике и паспортизации автомобильных  дорог общего пользования  местного значения АСГО - 33 км.</w:t>
      </w:r>
    </w:p>
    <w:p>
      <w:pPr>
        <w:ind w:firstLine="709"/>
        <w:spacing/>
        <w:contextualSpacing/>
        <w:jc w:val="both"/>
        <w:widowControl/>
        <w:tabs defTabSz="720">
          <w:tab w:val="left" w:pos="-57"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rPr>
      </w:pPr>
      <w:r>
        <w:rPr>
          <w:color w:val="000000"/>
          <w:sz w:val="24"/>
          <w:szCs w:val="24"/>
        </w:rPr>
        <w:t>Был заключен контракт на сумму 12 658 969,50 рублей со сроком выполнения работ до 01.09.2025.</w:t>
      </w:r>
    </w:p>
    <w:p>
      <w:pPr>
        <w:ind w:firstLine="635"/>
        <w:spacing/>
        <w:contextualSpacing/>
        <w:jc w:val="both"/>
        <w:rPr>
          <w:color w:val="000000"/>
          <w:sz w:val="24"/>
          <w:szCs w:val="24"/>
        </w:rPr>
      </w:pPr>
      <w:r>
        <w:rPr>
          <w:color w:val="000000"/>
          <w:sz w:val="24"/>
          <w:szCs w:val="24"/>
        </w:rPr>
        <w:t xml:space="preserve">Однако подрядная организация направила в адрес заказчика МБУ «Управление жизнеобеспечения» письмо от 19.06.2025 № 19-П/25 о невозможности выполнения обязательств, предусмотренных муниципальным контрактом. Причина невыполнения работ подрядной организацией – сложности в сертификации игрового оборудования, длительный процесс оформления сертификатов, а также сложности в поставке комплектующих для производства малых архитектурных форм. На основании вышеизложенного внесены изменения в соглашение (возврат денежных средств в областной и федеральный бюджеты на сумму 11 772 800 рублей). </w:t>
      </w:r>
    </w:p>
    <w:p>
      <w:pPr>
        <w:ind w:firstLine="635"/>
        <w:spacing/>
        <w:contextualSpacing/>
        <w:jc w:val="both"/>
        <w:rPr>
          <w:color w:val="000000"/>
          <w:sz w:val="24"/>
          <w:szCs w:val="24"/>
        </w:rPr>
      </w:pPr>
      <w:r>
        <w:rPr>
          <w:color w:val="000000"/>
          <w:sz w:val="24"/>
          <w:szCs w:val="24"/>
        </w:rPr>
        <w:t>Кроме того, были выполнены работы по благоустройству двух других пространств:</w:t>
      </w:r>
    </w:p>
    <w:p>
      <w:pPr>
        <w:ind w:firstLine="635"/>
        <w:spacing/>
        <w:contextualSpacing/>
        <w:jc w:val="both"/>
        <w:rPr>
          <w:color w:val="000000"/>
          <w:sz w:val="24"/>
          <w:szCs w:val="24"/>
        </w:rPr>
      </w:pPr>
      <w:r>
        <w:rPr>
          <w:color w:val="000000"/>
          <w:sz w:val="24"/>
          <w:szCs w:val="24"/>
        </w:rPr>
        <w:t>-</w:t>
      </w:r>
      <w:r>
        <w:rPr>
          <w:b/>
          <w:bCs/>
          <w:color w:val="000000"/>
          <w:sz w:val="24"/>
          <w:szCs w:val="24"/>
        </w:rPr>
        <w:t>сквер у Вокзала (паровоз)</w:t>
      </w:r>
      <w:r>
        <w:rPr>
          <w:color w:val="000000"/>
          <w:sz w:val="24"/>
          <w:szCs w:val="24"/>
        </w:rPr>
        <w:t>. заключены 2 прямых договора. Договор на сумму 596 013 рублей, произведена установка 9 новых парковых диванов. Договор на сумму 291 519 рублей. Произведена установка 9 новых урн. Работы выполнены и оплачены.</w:t>
      </w:r>
    </w:p>
    <w:p>
      <w:pPr>
        <w:pStyle w:val="para91"/>
        <w:ind w:left="0" w:firstLine="72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-бульвар Шахтеров (замена парковых диванов).</w:t>
      </w:r>
      <w:r>
        <w:rPr>
          <w:rFonts w:ascii="Times New Roman" w:hAnsi="Times New Roman" w:cs="Times New Roman"/>
          <w:color w:val="000000"/>
          <w:sz w:val="24"/>
          <w:szCs w:val="24"/>
        </w:rPr>
        <w:t xml:space="preserve"> </w:t>
      </w:r>
      <w:r/>
      <w:bookmarkStart w:id="1" w:name="_Hlk195006453"/>
      <w:r/>
      <w:r>
        <w:rPr>
          <w:rFonts w:ascii="Times New Roman" w:hAnsi="Times New Roman" w:cs="Times New Roman"/>
          <w:color w:val="000000"/>
          <w:sz w:val="24"/>
          <w:szCs w:val="24"/>
        </w:rPr>
        <w:t xml:space="preserve">Прямой договор на сумму 596 013 рублей. Произведена установка 9 новых парковых диванов. </w:t>
      </w:r>
      <w:r/>
      <w:bookmarkEnd w:id="1"/>
      <w:r/>
      <w:r>
        <w:rPr>
          <w:rFonts w:ascii="Times New Roman" w:hAnsi="Times New Roman" w:cs="Times New Roman"/>
          <w:color w:val="000000"/>
          <w:sz w:val="24"/>
          <w:szCs w:val="24"/>
        </w:rPr>
        <w:t>Работы выполнены и оплачены.</w:t>
      </w:r>
      <w:r>
        <w:rPr>
          <w:rFonts w:ascii="Times New Roman" w:hAnsi="Times New Roman" w:cs="Times New Roman"/>
          <w:color w:val="000000"/>
          <w:sz w:val="24"/>
          <w:szCs w:val="24"/>
        </w:rPr>
      </w:r>
    </w:p>
    <w:p>
      <w:pPr>
        <w:pStyle w:val="para91"/>
        <w:ind w:left="0" w:firstLine="72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r>
    </w:p>
    <w:p>
      <w:pPr>
        <w:pStyle w:val="para91"/>
        <w:ind w:left="0" w:firstLine="72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r>
    </w:p>
    <w:p>
      <w:pPr>
        <w:pStyle w:val="para91"/>
        <w:ind w:left="0" w:firstLine="72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r>
    </w:p>
    <w:p>
      <w:pPr>
        <w:pStyle w:val="para91"/>
        <w:ind w:left="0" w:firstLine="72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r>
    </w:p>
    <w:p>
      <w:pPr>
        <w:pStyle w:val="para91"/>
        <w:ind w:left="0" w:firstLine="72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r>
    </w:p>
    <w:p>
      <w:pPr>
        <w:ind w:left="-284" w:firstLine="993"/>
        <w:spacing/>
        <w:contextualSpacing/>
        <w:jc w:val="center"/>
        <w:widowControl/>
        <w:rPr>
          <w:b/>
          <w:bCs/>
          <w:color w:val="000000"/>
          <w:sz w:val="24"/>
          <w:szCs w:val="24"/>
        </w:rPr>
      </w:pPr>
      <w:r>
        <w:rPr>
          <w:b/>
          <w:color w:val="000000"/>
          <w:sz w:val="24"/>
          <w:szCs w:val="24"/>
        </w:rPr>
        <w:t>9.</w:t>
      </w:r>
      <w:r>
        <w:rPr>
          <w:b/>
          <w:bCs/>
          <w:color w:val="000000"/>
          <w:sz w:val="24"/>
          <w:szCs w:val="24"/>
        </w:rPr>
        <w:t xml:space="preserve"> ТРУД И ЗАНЯТОСТЬ </w:t>
      </w:r>
      <w:r>
        <w:rPr>
          <w:b/>
          <w:bCs/>
          <w:color w:val="000000"/>
          <w:sz w:val="24"/>
          <w:szCs w:val="24"/>
        </w:rPr>
      </w:r>
    </w:p>
    <w:p>
      <w:pPr>
        <w:ind w:firstLine="720"/>
        <w:spacing/>
        <w:contextualSpacing/>
        <w:jc w:val="both"/>
        <w:widowControl/>
        <w:rPr>
          <w:color w:val="000000"/>
          <w:sz w:val="24"/>
          <w:szCs w:val="24"/>
        </w:rPr>
      </w:pPr>
      <w:r>
        <w:rPr>
          <w:color w:val="000000"/>
          <w:sz w:val="24"/>
          <w:szCs w:val="24"/>
        </w:rPr>
      </w:r>
    </w:p>
    <w:p>
      <w:pPr>
        <w:ind w:firstLine="720"/>
        <w:spacing/>
        <w:contextualSpacing/>
        <w:jc w:val="both"/>
        <w:widowControl/>
        <w:rPr>
          <w:color w:val="000000"/>
          <w:sz w:val="24"/>
          <w:szCs w:val="24"/>
        </w:rPr>
      </w:pPr>
      <w:r/>
      <w:bookmarkStart w:id="2" w:name="_Toc35862781"/>
      <w:r/>
      <w:bookmarkStart w:id="3" w:name="_Toc35862779"/>
      <w:r/>
      <w:r>
        <w:rPr>
          <w:color w:val="000000"/>
          <w:sz w:val="24"/>
          <w:szCs w:val="24"/>
        </w:rPr>
        <w:t>По итогам 2025 года численность работников крупных и средних предприятий составила 13 373 чел., что на 1,7% меньше аналогичного периода прошлого года.</w:t>
      </w:r>
      <w:r>
        <w:rPr>
          <w:color w:val="000000"/>
          <w:sz w:val="24"/>
          <w:szCs w:val="24"/>
        </w:rPr>
      </w:r>
    </w:p>
    <w:p>
      <w:pPr>
        <w:ind w:firstLine="697"/>
        <w:spacing w:before="120" w:after="120"/>
        <w:contextualSpacing/>
        <w:jc w:val="both"/>
        <w:rPr>
          <w:bCs/>
          <w:color w:val="000000"/>
          <w:sz w:val="24"/>
          <w:szCs w:val="24"/>
        </w:rPr>
      </w:pPr>
      <w:r>
        <w:rPr>
          <w:color w:val="000000"/>
          <w:sz w:val="24"/>
          <w:szCs w:val="24"/>
        </w:rPr>
        <w:t>За январь -декабрь 2025 года в службу занятости за</w:t>
      </w:r>
      <w:r>
        <w:rPr>
          <w:i/>
          <w:color w:val="000000"/>
          <w:sz w:val="24"/>
          <w:szCs w:val="24"/>
        </w:rPr>
        <w:t xml:space="preserve"> </w:t>
      </w:r>
      <w:r>
        <w:rPr>
          <w:color w:val="000000"/>
          <w:sz w:val="24"/>
          <w:szCs w:val="24"/>
        </w:rPr>
        <w:t xml:space="preserve">получением мер государственной поддержки обратилось 4497 граждан, </w:t>
      </w:r>
      <w:r>
        <w:rPr>
          <w:bCs/>
          <w:color w:val="000000"/>
          <w:sz w:val="24"/>
          <w:szCs w:val="24"/>
        </w:rPr>
        <w:t xml:space="preserve">из них за содействием в поиске подходящей работы </w:t>
      </w:r>
      <w:r>
        <w:rPr>
          <w:bCs/>
          <w:color w:val="000000"/>
          <w:sz w:val="24"/>
          <w:szCs w:val="24"/>
        </w:rPr>
        <w:t>1</w:t>
      </w:r>
      <w:r>
        <w:rPr>
          <w:bCs/>
          <w:color w:val="000000"/>
          <w:sz w:val="24"/>
          <w:szCs w:val="24"/>
        </w:rPr>
        <w:t>515</w:t>
      </w:r>
      <w:r>
        <w:rPr>
          <w:bCs/>
          <w:color w:val="000000"/>
          <w:sz w:val="24"/>
          <w:szCs w:val="24"/>
        </w:rPr>
        <w:t xml:space="preserve">  чел</w:t>
      </w:r>
      <w:r>
        <w:rPr>
          <w:bCs/>
          <w:color w:val="000000"/>
          <w:sz w:val="24"/>
          <w:szCs w:val="24"/>
        </w:rPr>
        <w:t>.</w:t>
      </w:r>
      <w:r>
        <w:rPr>
          <w:bCs/>
          <w:color w:val="000000"/>
          <w:sz w:val="24"/>
          <w:szCs w:val="24"/>
        </w:rPr>
      </w:r>
    </w:p>
    <w:p>
      <w:pPr>
        <w:ind w:firstLine="709"/>
        <w:spacing w:before="120" w:after="120"/>
        <w:contextualSpacing/>
        <w:jc w:val="both"/>
        <w:rPr>
          <w:bCs/>
          <w:color w:val="000000"/>
          <w:sz w:val="24"/>
          <w:szCs w:val="24"/>
        </w:rPr>
      </w:pPr>
      <w:r>
        <w:rPr>
          <w:color w:val="000000"/>
          <w:sz w:val="24"/>
          <w:szCs w:val="24"/>
        </w:rPr>
        <w:t>Официальный с</w:t>
      </w:r>
      <w:r>
        <w:rPr>
          <w:bCs/>
          <w:i/>
          <w:iCs/>
          <w:color w:val="000000"/>
          <w:sz w:val="24"/>
          <w:szCs w:val="24"/>
        </w:rPr>
        <w:t xml:space="preserve">татус безработного </w:t>
      </w:r>
      <w:r>
        <w:rPr>
          <w:color w:val="000000"/>
          <w:sz w:val="24"/>
          <w:szCs w:val="24"/>
        </w:rPr>
        <w:t xml:space="preserve">с начала 2025 года получили 1008 </w:t>
      </w:r>
      <w:r>
        <w:rPr>
          <w:bCs/>
          <w:color w:val="000000"/>
          <w:sz w:val="24"/>
          <w:szCs w:val="24"/>
        </w:rPr>
        <w:t xml:space="preserve">чел., что </w:t>
      </w:r>
      <w:r>
        <w:rPr>
          <w:bCs/>
          <w:color w:val="000000"/>
          <w:sz w:val="24"/>
          <w:szCs w:val="24"/>
        </w:rPr>
        <w:t xml:space="preserve">почти </w:t>
      </w:r>
      <w:r>
        <w:rPr>
          <w:bCs/>
          <w:color w:val="000000"/>
          <w:sz w:val="24"/>
          <w:szCs w:val="24"/>
        </w:rPr>
        <w:t>1,</w:t>
      </w:r>
      <w:r>
        <w:rPr>
          <w:bCs/>
          <w:color w:val="000000"/>
          <w:sz w:val="24"/>
          <w:szCs w:val="24"/>
        </w:rPr>
        <w:t>5</w:t>
      </w:r>
      <w:r>
        <w:rPr>
          <w:bCs/>
          <w:color w:val="000000"/>
          <w:sz w:val="24"/>
          <w:szCs w:val="24"/>
        </w:rPr>
        <w:t xml:space="preserve"> </w:t>
      </w:r>
      <w:r>
        <w:rPr>
          <w:bCs/>
          <w:color w:val="000000"/>
          <w:sz w:val="24"/>
          <w:szCs w:val="24"/>
        </w:rPr>
        <w:t xml:space="preserve">раза  </w:t>
      </w:r>
      <w:r>
        <w:rPr>
          <w:color w:val="000000"/>
          <w:sz w:val="24"/>
          <w:szCs w:val="24"/>
        </w:rPr>
        <w:t xml:space="preserve">больше аналогичного показателя 2024 года  (697 </w:t>
      </w:r>
      <w:r>
        <w:rPr>
          <w:bCs/>
          <w:color w:val="000000"/>
          <w:sz w:val="24"/>
          <w:szCs w:val="24"/>
        </w:rPr>
        <w:t xml:space="preserve">чел.). </w:t>
      </w:r>
      <w:r>
        <w:rPr>
          <w:bCs/>
          <w:color w:val="000000"/>
          <w:sz w:val="24"/>
          <w:szCs w:val="24"/>
        </w:rPr>
      </w:r>
    </w:p>
    <w:p>
      <w:pPr>
        <w:ind w:firstLine="709"/>
        <w:spacing w:before="120" w:after="120"/>
        <w:contextualSpacing/>
        <w:jc w:val="both"/>
        <w:rPr>
          <w:color w:val="000000"/>
          <w:sz w:val="24"/>
          <w:szCs w:val="24"/>
        </w:rPr>
      </w:pPr>
      <w:r>
        <w:rPr>
          <w:bCs/>
          <w:color w:val="000000"/>
          <w:sz w:val="24"/>
          <w:szCs w:val="24"/>
        </w:rPr>
        <w:t>С учётом граждан, состоящих на регистрационном учёте в центре занятости, имеющих официальный статус безработного на 01.01.2025 г. (209 чел.), численность безработных граждан в периоде составила 1217 чел. (2024г. – 920 чел.)</w:t>
      </w:r>
      <w:r>
        <w:rPr>
          <w:color w:val="000000"/>
          <w:sz w:val="24"/>
          <w:szCs w:val="24"/>
        </w:rPr>
      </w:r>
    </w:p>
    <w:p>
      <w:pPr>
        <w:pStyle w:val="para25"/>
        <w:ind w:firstLine="709"/>
        <w:spacing w:before="120" w:after="120"/>
        <w:contextualSpacing/>
        <w:jc w:val="both"/>
        <w:rPr>
          <w:color w:val="000000"/>
          <w:sz w:val="24"/>
          <w:szCs w:val="24"/>
        </w:rPr>
      </w:pPr>
      <w:r>
        <w:rPr>
          <w:color w:val="000000"/>
          <w:sz w:val="24"/>
          <w:szCs w:val="24"/>
        </w:rPr>
        <w:t>По состоянию на 31.12.2025 г. на учёте в центре занятости состоит 372 чел., имеющих официальный статус безработного, что на 163 чел. больше соответствующего периода 2024 года (209 чел.).</w:t>
      </w:r>
    </w:p>
    <w:p>
      <w:pPr>
        <w:pStyle w:val="para25"/>
        <w:ind w:firstLine="700"/>
        <w:spacing w:before="120" w:after="120"/>
        <w:contextualSpacing/>
        <w:jc w:val="both"/>
        <w:rPr>
          <w:color w:val="000000"/>
          <w:sz w:val="24"/>
          <w:szCs w:val="24"/>
        </w:rPr>
      </w:pPr>
      <w:r>
        <w:rPr>
          <w:color w:val="000000"/>
          <w:sz w:val="24"/>
          <w:szCs w:val="24"/>
        </w:rPr>
        <w:t>Уровень  официально зарегистрированной безработицы составляет 1,0% к численности населения в трудоспособном возрасте (38736  чел.).</w:t>
      </w:r>
    </w:p>
    <w:p>
      <w:pPr>
        <w:ind w:firstLine="709"/>
        <w:spacing w:before="120" w:after="120"/>
        <w:contextualSpacing/>
        <w:jc w:val="both"/>
        <w:rPr>
          <w:color w:val="000000"/>
          <w:sz w:val="24"/>
          <w:szCs w:val="24"/>
        </w:rPr>
      </w:pPr>
      <w:r>
        <w:rPr>
          <w:color w:val="000000"/>
          <w:sz w:val="24"/>
          <w:szCs w:val="24"/>
        </w:rPr>
        <w:t xml:space="preserve">По состоянию на отчётную дату в банке вакансий службы занятости населения заявлено работодателями 982 ед. свободных рабочих мест (вакантных должностей), что почти в 2,1 раза меньше, чем год назад (2024 г. – 2027 ед.). Заявленная в службу занятости потребность в работниках представлена преимущественно рабочими профессиями – 84,0%.  </w:t>
      </w:r>
    </w:p>
    <w:p>
      <w:pPr>
        <w:ind w:firstLine="709"/>
        <w:spacing w:before="120" w:after="120"/>
        <w:contextualSpacing/>
        <w:jc w:val="both"/>
        <w:rPr>
          <w:color w:val="000000"/>
          <w:sz w:val="24"/>
          <w:szCs w:val="24"/>
        </w:rPr>
      </w:pPr>
      <w:r>
        <w:rPr>
          <w:color w:val="000000"/>
          <w:sz w:val="24"/>
          <w:szCs w:val="24"/>
        </w:rPr>
        <w:t>Коэффициент напряжённости на рынке труда составляет 0,5 гр-на, ищущего работу, на каждую заявленную вакансию без учёта профессионально -квалификационной структуры (2024 г. – 0,1 гр-на), или на одного гражданина, состоящего на учёте в службе занятости приходится 1,9 вакансий.</w:t>
      </w:r>
    </w:p>
    <w:p>
      <w:pPr>
        <w:spacing w:before="120" w:after="120"/>
        <w:contextualSpacing/>
        <w:jc w:val="both"/>
        <w:rPr>
          <w:color w:val="000000"/>
          <w:sz w:val="24"/>
          <w:szCs w:val="24"/>
        </w:rPr>
      </w:pPr>
      <w:r>
        <w:rPr>
          <w:color w:val="000000"/>
          <w:sz w:val="24"/>
          <w:szCs w:val="24"/>
        </w:rPr>
      </w:r>
    </w:p>
    <w:p>
      <w:pPr>
        <w:ind w:left="-284" w:firstLine="993"/>
        <w:spacing/>
        <w:contextualSpacing/>
        <w:jc w:val="center"/>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rPr>
      </w:pPr>
      <w:r>
        <w:rPr>
          <w:b/>
          <w:color w:val="000000"/>
          <w:sz w:val="24"/>
          <w:szCs w:val="24"/>
        </w:rPr>
        <w:t>10. ДОХОДЫ НАСЕЛЕНИЯ</w:t>
      </w:r>
      <w:r>
        <w:rPr>
          <w:color w:val="000000"/>
        </w:rPr>
      </w:r>
    </w:p>
    <w:p>
      <w:pPr>
        <w:ind w:firstLine="720"/>
        <w:spacing/>
        <w:contextualSpacing/>
        <w:jc w:val="both"/>
        <w:widowControl/>
        <w:rPr>
          <w:color w:val="000000"/>
          <w:sz w:val="24"/>
          <w:szCs w:val="24"/>
        </w:rPr>
      </w:pPr>
      <w:r>
        <w:rPr>
          <w:color w:val="000000"/>
          <w:sz w:val="24"/>
          <w:szCs w:val="24"/>
        </w:rPr>
      </w:r>
    </w:p>
    <w:p>
      <w:pPr>
        <w:ind w:firstLine="720"/>
        <w:spacing/>
        <w:contextualSpacing/>
        <w:jc w:val="both"/>
        <w:widowControl/>
        <w:rPr>
          <w:color w:val="000000"/>
          <w:sz w:val="24"/>
          <w:szCs w:val="24"/>
        </w:rPr>
      </w:pPr>
      <w:r>
        <w:rPr>
          <w:color w:val="000000"/>
          <w:sz w:val="24"/>
          <w:szCs w:val="24"/>
        </w:rPr>
        <w:t>Среднемесячная заработная плата работающих по муниципальному образованию за   2025 год по крупным и средним предприятиям увеличилась по сравнению с аналогичным периодом предыдущего года на 8,8 % и составила 69 827 руб. Реальный размер среднемесячной заработной платы сложился на уровне 116,68%.</w:t>
      </w:r>
    </w:p>
    <w:p>
      <w:pPr>
        <w:ind w:firstLine="709"/>
        <w:spacing/>
        <w:contextualSpacing/>
        <w:jc w:val="both"/>
        <w:widowControl/>
        <w:rPr>
          <w:color w:val="000000"/>
          <w:sz w:val="24"/>
          <w:szCs w:val="24"/>
        </w:rPr>
      </w:pPr>
      <w:r>
        <w:rPr>
          <w:color w:val="000000"/>
          <w:sz w:val="24"/>
          <w:szCs w:val="24"/>
        </w:rPr>
        <w:t>Средний размер назначенных пенсий, по итогам  2025 года составил 24 579,75 рублей, что выше аналогичного периода на 9,3%.</w:t>
      </w:r>
    </w:p>
    <w:p>
      <w:pPr>
        <w:ind w:left="-284" w:firstLine="993"/>
        <w:spacing/>
        <w:contextualSpacing/>
        <w:jc w:val="center"/>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highlight w:val="yellow"/>
          <w:color w:val="000000"/>
          <w:sz w:val="24"/>
          <w:szCs w:val="24"/>
        </w:rPr>
      </w:pPr>
      <w:r>
        <w:rPr>
          <w:b/>
          <w:highlight w:val="yellow"/>
          <w:color w:val="000000"/>
          <w:sz w:val="24"/>
          <w:szCs w:val="24"/>
        </w:rPr>
      </w:r>
    </w:p>
    <w:p>
      <w:pPr>
        <w:ind w:left="-284" w:firstLine="993"/>
        <w:spacing/>
        <w:contextualSpacing/>
        <w:jc w:val="center"/>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color w:val="000000"/>
          <w:sz w:val="24"/>
          <w:szCs w:val="24"/>
        </w:rPr>
      </w:pPr>
      <w:r>
        <w:rPr>
          <w:b/>
          <w:color w:val="000000"/>
          <w:sz w:val="24"/>
          <w:szCs w:val="24"/>
        </w:rPr>
        <w:t xml:space="preserve">11. ПОТРЕБИТЕЛЬСКИЙ РЫНОК </w:t>
      </w:r>
    </w:p>
    <w:p>
      <w:pPr>
        <w:ind w:firstLine="709"/>
        <w:spacing/>
        <w:contextualSpacing/>
        <w:jc w:val="both"/>
        <w:widowControl/>
        <w:rPr>
          <w:color w:val="000000"/>
          <w:sz w:val="24"/>
          <w:szCs w:val="24"/>
        </w:rPr>
      </w:pPr>
      <w:r>
        <w:rPr>
          <w:color w:val="000000"/>
          <w:sz w:val="24"/>
          <w:szCs w:val="24"/>
        </w:rPr>
      </w:r>
    </w:p>
    <w:p>
      <w:pPr>
        <w:ind w:firstLine="709"/>
        <w:spacing/>
        <w:contextualSpacing/>
        <w:jc w:val="both"/>
        <w:rPr>
          <w:color w:val="000000"/>
          <w:sz w:val="24"/>
          <w:szCs w:val="24"/>
        </w:rPr>
      </w:pPr>
      <w:r>
        <w:rPr>
          <w:color w:val="000000"/>
          <w:sz w:val="24"/>
          <w:szCs w:val="24"/>
        </w:rPr>
        <w:t xml:space="preserve">В сфере потребительского рынка  городского округа в 2025 году введено в действие </w:t>
      </w:r>
      <w:r>
        <w:rPr>
          <w:b/>
          <w:bCs/>
          <w:color w:val="000000"/>
          <w:sz w:val="24"/>
          <w:szCs w:val="24"/>
        </w:rPr>
        <w:t xml:space="preserve">18 </w:t>
      </w:r>
      <w:r>
        <w:rPr>
          <w:color w:val="000000"/>
          <w:sz w:val="24"/>
          <w:szCs w:val="24"/>
        </w:rPr>
        <w:t>объектов:</w:t>
      </w:r>
    </w:p>
    <w:p>
      <w:pPr>
        <w:ind w:firstLine="709"/>
        <w:spacing/>
        <w:contextualSpacing/>
        <w:jc w:val="both"/>
        <w:rPr>
          <w:color w:val="000000"/>
          <w:sz w:val="24"/>
          <w:szCs w:val="24"/>
        </w:rPr>
      </w:pPr>
      <w:r>
        <w:rPr>
          <w:color w:val="000000"/>
          <w:sz w:val="24"/>
          <w:szCs w:val="24"/>
        </w:rPr>
        <w:t>-магазин «Красное&amp;Белое» по ул.Ватутина, 25 общей площадью 76,7 кв.м.;</w:t>
      </w:r>
    </w:p>
    <w:p>
      <w:pPr>
        <w:ind w:firstLine="709"/>
        <w:spacing/>
        <w:contextualSpacing/>
        <w:jc w:val="both"/>
        <w:rPr>
          <w:color w:val="000000"/>
          <w:sz w:val="24"/>
          <w:szCs w:val="24"/>
        </w:rPr>
      </w:pPr>
      <w:r>
        <w:rPr>
          <w:color w:val="000000"/>
          <w:sz w:val="24"/>
          <w:szCs w:val="24"/>
        </w:rPr>
        <w:t>-магазин «Монетка» по пер.Электрический,3, общей площадью 350,0 кв.м.;</w:t>
      </w:r>
    </w:p>
    <w:p>
      <w:pPr>
        <w:ind w:firstLine="709"/>
        <w:spacing/>
        <w:contextualSpacing/>
        <w:jc w:val="both"/>
        <w:rPr>
          <w:color w:val="000000"/>
          <w:sz w:val="24"/>
          <w:szCs w:val="24"/>
        </w:rPr>
      </w:pPr>
      <w:r>
        <w:rPr>
          <w:color w:val="000000"/>
          <w:sz w:val="24"/>
          <w:szCs w:val="24"/>
        </w:rPr>
        <w:t>-магазин «Баварский дворик» по пер.Электрический,3 общей площадью 51,0 кв.м.;</w:t>
      </w:r>
    </w:p>
    <w:p>
      <w:pPr>
        <w:ind w:firstLine="709"/>
        <w:spacing/>
        <w:contextualSpacing/>
        <w:jc w:val="both"/>
        <w:rPr>
          <w:color w:val="000000"/>
          <w:sz w:val="24"/>
          <w:szCs w:val="24"/>
        </w:rPr>
      </w:pPr>
      <w:r>
        <w:rPr>
          <w:color w:val="000000"/>
          <w:sz w:val="24"/>
          <w:szCs w:val="24"/>
        </w:rPr>
        <w:t>-салон цветов «MeryDit» по ул.Желябова,3 общей площадью 50,0 кв.м.;</w:t>
      </w:r>
    </w:p>
    <w:p>
      <w:pPr>
        <w:ind w:firstLine="709"/>
        <w:spacing/>
        <w:contextualSpacing/>
        <w:jc w:val="both"/>
        <w:rPr>
          <w:color w:val="000000"/>
          <w:sz w:val="24"/>
          <w:szCs w:val="24"/>
        </w:rPr>
      </w:pPr>
      <w:r>
        <w:rPr>
          <w:color w:val="000000"/>
          <w:sz w:val="24"/>
          <w:szCs w:val="24"/>
        </w:rPr>
        <w:t>-аптека «Апрель» в ТЦ «Олимп» по адресу: ул.М.Горького,47;</w:t>
      </w:r>
    </w:p>
    <w:p>
      <w:pPr>
        <w:ind w:firstLine="709"/>
        <w:spacing/>
        <w:contextualSpacing/>
        <w:jc w:val="both"/>
        <w:rPr>
          <w:color w:val="000000"/>
          <w:sz w:val="24"/>
          <w:szCs w:val="24"/>
        </w:rPr>
      </w:pPr>
      <w:r>
        <w:rPr>
          <w:color w:val="000000"/>
          <w:sz w:val="24"/>
          <w:szCs w:val="24"/>
        </w:rPr>
        <w:t>-магазин «Фикс-прайс» в ТЦ по ул.Магистральная,34/1;</w:t>
      </w:r>
    </w:p>
    <w:p>
      <w:pPr>
        <w:ind w:firstLine="709"/>
        <w:spacing/>
        <w:contextualSpacing/>
        <w:jc w:val="both"/>
        <w:rPr>
          <w:color w:val="000000"/>
          <w:sz w:val="24"/>
          <w:szCs w:val="24"/>
        </w:rPr>
      </w:pPr>
      <w:r>
        <w:rPr>
          <w:color w:val="000000"/>
          <w:sz w:val="24"/>
          <w:szCs w:val="24"/>
        </w:rPr>
        <w:t>-аптека «Фармакопейка» по ул.Желябова,6А общей площадью 61,0 кв.м.;</w:t>
      </w:r>
    </w:p>
    <w:p>
      <w:pPr>
        <w:ind w:firstLine="709"/>
        <w:spacing/>
        <w:contextualSpacing/>
        <w:jc w:val="both"/>
        <w:rPr>
          <w:color w:val="000000"/>
          <w:sz w:val="24"/>
          <w:szCs w:val="24"/>
        </w:rPr>
      </w:pPr>
      <w:r>
        <w:rPr>
          <w:color w:val="000000"/>
          <w:sz w:val="24"/>
          <w:szCs w:val="24"/>
        </w:rPr>
        <w:t>-Магазин -студия флористики «Ирис» по ул.Ленина,22 общей площадью 60,0 кв.м.;</w:t>
      </w:r>
    </w:p>
    <w:p>
      <w:pPr>
        <w:ind w:firstLine="709"/>
        <w:spacing/>
        <w:contextualSpacing/>
        <w:jc w:val="both"/>
        <w:rPr>
          <w:color w:val="000000"/>
          <w:sz w:val="24"/>
          <w:szCs w:val="24"/>
        </w:rPr>
      </w:pPr>
      <w:r>
        <w:rPr>
          <w:color w:val="000000"/>
          <w:sz w:val="24"/>
          <w:szCs w:val="24"/>
        </w:rPr>
        <w:t>-аптека «Живика» в ТЦ «Искра» по ул.М.Горького,43;</w:t>
      </w:r>
    </w:p>
    <w:p>
      <w:pPr>
        <w:ind w:firstLine="709"/>
        <w:spacing/>
        <w:contextualSpacing/>
        <w:jc w:val="both"/>
        <w:rPr>
          <w:color w:val="000000"/>
          <w:sz w:val="24"/>
          <w:szCs w:val="24"/>
        </w:rPr>
      </w:pPr>
      <w:r>
        <w:rPr>
          <w:color w:val="000000"/>
          <w:sz w:val="24"/>
          <w:szCs w:val="24"/>
        </w:rPr>
        <w:t>-магазин «Мария-Ра» по адресу:ул.Сосновая,19а общей площадью 324,6 кв.м.;</w:t>
      </w:r>
    </w:p>
    <w:p>
      <w:pPr>
        <w:ind w:firstLine="709"/>
        <w:spacing/>
        <w:contextualSpacing/>
        <w:jc w:val="both"/>
        <w:rPr>
          <w:color w:val="000000"/>
          <w:sz w:val="24"/>
          <w:szCs w:val="24"/>
        </w:rPr>
      </w:pPr>
      <w:r>
        <w:rPr>
          <w:color w:val="000000"/>
          <w:sz w:val="24"/>
          <w:szCs w:val="24"/>
        </w:rPr>
        <w:t>-кафе «Азия»по ул.Ленина,13Б площадью 30 кв.м;</w:t>
      </w:r>
    </w:p>
    <w:p>
      <w:pPr>
        <w:ind w:firstLine="709"/>
        <w:spacing/>
        <w:contextualSpacing/>
        <w:jc w:val="both"/>
        <w:rPr>
          <w:color w:val="000000"/>
          <w:sz w:val="24"/>
          <w:szCs w:val="24"/>
        </w:rPr>
      </w:pPr>
      <w:r>
        <w:rPr>
          <w:color w:val="000000"/>
          <w:sz w:val="24"/>
          <w:szCs w:val="24"/>
        </w:rPr>
        <w:t>-отдел «Ермолино» в ТЦ «Олимп» по ул.М.Горького,47;</w:t>
      </w:r>
    </w:p>
    <w:p>
      <w:pPr>
        <w:ind w:firstLine="709"/>
        <w:spacing/>
        <w:contextualSpacing/>
        <w:jc w:val="both"/>
        <w:rPr>
          <w:color w:val="000000"/>
          <w:sz w:val="24"/>
          <w:szCs w:val="24"/>
        </w:rPr>
      </w:pPr>
      <w:r>
        <w:rPr>
          <w:color w:val="000000"/>
          <w:sz w:val="24"/>
          <w:szCs w:val="24"/>
        </w:rPr>
        <w:t>-пиццерия «ДодоПицца»в ТЦ «Сибирский городок» по адресу: ул.Ленина,13Б;</w:t>
      </w:r>
    </w:p>
    <w:p>
      <w:pPr>
        <w:ind w:firstLine="709"/>
        <w:spacing/>
        <w:contextualSpacing/>
        <w:jc w:val="both"/>
        <w:rPr>
          <w:color w:val="000000"/>
          <w:sz w:val="24"/>
          <w:szCs w:val="24"/>
        </w:rPr>
      </w:pPr>
      <w:r>
        <w:rPr>
          <w:color w:val="000000"/>
          <w:sz w:val="24"/>
          <w:szCs w:val="24"/>
        </w:rPr>
        <w:t>-отдел « Курочка-Булочка»в ТЦ «Сибирский городок» по адресу: ул.Ленина,13Б;</w:t>
      </w:r>
    </w:p>
    <w:p>
      <w:pPr>
        <w:ind w:firstLine="709"/>
        <w:spacing/>
        <w:contextualSpacing/>
        <w:jc w:val="both"/>
        <w:rPr>
          <w:color w:val="000000"/>
          <w:sz w:val="24"/>
          <w:szCs w:val="24"/>
        </w:rPr>
      </w:pPr>
      <w:r>
        <w:rPr>
          <w:color w:val="000000"/>
          <w:sz w:val="24"/>
          <w:szCs w:val="24"/>
        </w:rPr>
        <w:t>-павильон «Китайские продукты» по адресу: ул.Ленина,13А площадью 60 кв.м.;</w:t>
      </w:r>
    </w:p>
    <w:p>
      <w:pPr>
        <w:ind w:firstLine="709"/>
        <w:spacing/>
        <w:contextualSpacing/>
        <w:jc w:val="both"/>
        <w:rPr>
          <w:color w:val="000000"/>
          <w:sz w:val="24"/>
          <w:szCs w:val="24"/>
        </w:rPr>
      </w:pPr>
      <w:r>
        <w:rPr>
          <w:color w:val="000000"/>
          <w:sz w:val="24"/>
          <w:szCs w:val="24"/>
        </w:rPr>
        <w:t>-аптека «Апрель» по адресу:ул.Лазо,19;</w:t>
      </w:r>
    </w:p>
    <w:p>
      <w:pPr>
        <w:ind w:firstLine="709"/>
        <w:spacing/>
        <w:contextualSpacing/>
        <w:jc w:val="both"/>
        <w:rPr>
          <w:color w:val="000000"/>
          <w:sz w:val="24"/>
          <w:szCs w:val="24"/>
        </w:rPr>
      </w:pPr>
      <w:r>
        <w:rPr>
          <w:color w:val="000000"/>
          <w:sz w:val="24"/>
          <w:szCs w:val="24"/>
        </w:rPr>
        <w:t>-кафе «Шашлычная на углях» по адресу :ул.Станционная,9 общей площадью 78 кв.м.;</w:t>
      </w:r>
    </w:p>
    <w:p>
      <w:pPr>
        <w:ind w:firstLine="709"/>
        <w:spacing/>
        <w:contextualSpacing/>
        <w:jc w:val="both"/>
        <w:rPr>
          <w:color w:val="000000"/>
          <w:sz w:val="24"/>
          <w:szCs w:val="24"/>
        </w:rPr>
      </w:pPr>
      <w:r>
        <w:rPr>
          <w:color w:val="000000"/>
          <w:sz w:val="24"/>
          <w:szCs w:val="24"/>
        </w:rPr>
        <w:t>-магазин «Пенки-гренки» по адресу : пгт.Рудничный, ул.Советская,6, общей площадью 51 кв.м.</w:t>
      </w:r>
    </w:p>
    <w:p>
      <w:pPr>
        <w:ind w:firstLine="709"/>
        <w:spacing/>
        <w:contextualSpacing/>
        <w:jc w:val="both"/>
        <w:rPr>
          <w:color w:val="000000"/>
          <w:sz w:val="24"/>
          <w:szCs w:val="24"/>
        </w:rPr>
      </w:pPr>
      <w:r>
        <w:rPr>
          <w:color w:val="000000"/>
          <w:sz w:val="24"/>
          <w:szCs w:val="24"/>
        </w:rPr>
        <w:t>Площадь введённых объектов -</w:t>
      </w:r>
      <w:r>
        <w:rPr>
          <w:b/>
          <w:bCs/>
          <w:color w:val="000000"/>
          <w:sz w:val="24"/>
          <w:szCs w:val="24"/>
        </w:rPr>
        <w:t xml:space="preserve"> 1192,3 </w:t>
      </w:r>
      <w:r>
        <w:rPr>
          <w:color w:val="000000"/>
          <w:sz w:val="24"/>
          <w:szCs w:val="24"/>
        </w:rPr>
        <w:t>кв.м.</w:t>
      </w:r>
    </w:p>
    <w:p>
      <w:pPr>
        <w:ind w:firstLine="709"/>
        <w:spacing/>
        <w:contextualSpacing/>
        <w:jc w:val="both"/>
        <w:rPr>
          <w:color w:val="000000"/>
          <w:sz w:val="24"/>
          <w:szCs w:val="24"/>
        </w:rPr>
      </w:pPr>
      <w:r>
        <w:rPr>
          <w:color w:val="000000"/>
          <w:sz w:val="24"/>
          <w:szCs w:val="24"/>
        </w:rPr>
        <w:t xml:space="preserve">За 2025 г. реорганизовано </w:t>
      </w:r>
      <w:r>
        <w:rPr>
          <w:b/>
          <w:bCs/>
          <w:color w:val="000000"/>
          <w:sz w:val="24"/>
          <w:szCs w:val="24"/>
        </w:rPr>
        <w:t>9</w:t>
      </w:r>
      <w:r>
        <w:rPr>
          <w:color w:val="000000"/>
          <w:sz w:val="24"/>
          <w:szCs w:val="24"/>
        </w:rPr>
        <w:t xml:space="preserve"> объектов торговли:</w:t>
      </w:r>
    </w:p>
    <w:p>
      <w:pPr>
        <w:ind w:firstLine="709"/>
        <w:spacing/>
        <w:contextualSpacing/>
        <w:jc w:val="both"/>
        <w:rPr>
          <w:color w:val="000000"/>
          <w:sz w:val="24"/>
          <w:szCs w:val="24"/>
        </w:rPr>
      </w:pPr>
      <w:r>
        <w:rPr>
          <w:color w:val="000000"/>
          <w:sz w:val="24"/>
          <w:szCs w:val="24"/>
        </w:rPr>
        <w:t>-магазин «Монетка» по ул.Пушкина,5;</w:t>
      </w:r>
    </w:p>
    <w:p>
      <w:pPr>
        <w:ind w:firstLine="709"/>
        <w:spacing/>
        <w:contextualSpacing/>
        <w:jc w:val="both"/>
        <w:rPr>
          <w:color w:val="000000"/>
          <w:sz w:val="24"/>
          <w:szCs w:val="24"/>
        </w:rPr>
      </w:pPr>
      <w:r>
        <w:rPr>
          <w:color w:val="000000"/>
          <w:sz w:val="24"/>
          <w:szCs w:val="24"/>
        </w:rPr>
        <w:t>-магазин «Красное&amp;Белое» по ул.С.Перовской,3;</w:t>
      </w:r>
    </w:p>
    <w:p>
      <w:pPr>
        <w:ind w:firstLine="709"/>
        <w:spacing/>
        <w:contextualSpacing/>
        <w:jc w:val="both"/>
        <w:rPr>
          <w:color w:val="000000"/>
          <w:sz w:val="24"/>
          <w:szCs w:val="24"/>
        </w:rPr>
      </w:pPr>
      <w:r>
        <w:rPr>
          <w:color w:val="000000"/>
          <w:sz w:val="24"/>
          <w:szCs w:val="24"/>
        </w:rPr>
        <w:t>-магазин «Магнит» в пгт.Рудничный,ул.Советская,4а;</w:t>
      </w:r>
    </w:p>
    <w:p>
      <w:pPr>
        <w:ind w:firstLine="709"/>
        <w:spacing/>
        <w:contextualSpacing/>
        <w:jc w:val="both"/>
        <w:rPr>
          <w:color w:val="000000"/>
          <w:sz w:val="24"/>
          <w:szCs w:val="24"/>
        </w:rPr>
      </w:pPr>
      <w:r>
        <w:rPr>
          <w:color w:val="000000"/>
          <w:sz w:val="24"/>
          <w:szCs w:val="24"/>
        </w:rPr>
        <w:t>-магазин «Фикс-прайс» по адресу: ул.М.Горького,21;</w:t>
      </w:r>
    </w:p>
    <w:p>
      <w:pPr>
        <w:ind w:firstLine="709"/>
        <w:spacing/>
        <w:contextualSpacing/>
        <w:jc w:val="both"/>
        <w:rPr>
          <w:color w:val="000000"/>
          <w:sz w:val="24"/>
          <w:szCs w:val="24"/>
        </w:rPr>
      </w:pPr>
      <w:r>
        <w:rPr>
          <w:color w:val="000000"/>
          <w:sz w:val="24"/>
          <w:szCs w:val="24"/>
        </w:rPr>
        <w:t>-магазин «Цветик-опт» по адресу: ул.Ленина,30;</w:t>
      </w:r>
    </w:p>
    <w:p>
      <w:pPr>
        <w:ind w:firstLine="709"/>
        <w:spacing/>
        <w:contextualSpacing/>
        <w:jc w:val="both"/>
        <w:rPr>
          <w:color w:val="000000"/>
          <w:sz w:val="24"/>
          <w:szCs w:val="24"/>
        </w:rPr>
      </w:pPr>
      <w:r>
        <w:rPr>
          <w:color w:val="000000"/>
          <w:sz w:val="24"/>
          <w:szCs w:val="24"/>
        </w:rPr>
        <w:t>-павильон «Причал» по ул.Мира,15А;</w:t>
      </w:r>
    </w:p>
    <w:p>
      <w:pPr>
        <w:ind w:firstLine="709"/>
        <w:spacing/>
        <w:contextualSpacing/>
        <w:jc w:val="both"/>
        <w:rPr>
          <w:color w:val="000000"/>
          <w:sz w:val="24"/>
          <w:szCs w:val="24"/>
        </w:rPr>
      </w:pPr>
      <w:r>
        <w:rPr>
          <w:color w:val="000000"/>
          <w:sz w:val="24"/>
          <w:szCs w:val="24"/>
        </w:rPr>
        <w:t>-магазин «Пятерочка» в ТЦ «Водолей» по адресу: ул.С.Перовской,32;</w:t>
      </w:r>
    </w:p>
    <w:p>
      <w:pPr>
        <w:ind w:firstLine="709"/>
        <w:spacing/>
        <w:contextualSpacing/>
        <w:jc w:val="both"/>
        <w:rPr>
          <w:color w:val="000000"/>
          <w:sz w:val="24"/>
          <w:szCs w:val="24"/>
        </w:rPr>
      </w:pPr>
      <w:r>
        <w:rPr>
          <w:color w:val="000000"/>
          <w:sz w:val="24"/>
          <w:szCs w:val="24"/>
        </w:rPr>
        <w:t>-магазин «Чижик» по ул.Коминтерна,26;</w:t>
      </w:r>
    </w:p>
    <w:p>
      <w:pPr>
        <w:ind w:firstLine="709"/>
        <w:spacing/>
        <w:contextualSpacing/>
        <w:jc w:val="both"/>
        <w:rPr>
          <w:color w:val="000000"/>
          <w:sz w:val="24"/>
          <w:szCs w:val="24"/>
        </w:rPr>
      </w:pPr>
      <w:r>
        <w:rPr>
          <w:color w:val="000000"/>
          <w:sz w:val="24"/>
          <w:szCs w:val="24"/>
        </w:rPr>
        <w:t>-магазин «Монетка» по адресу: ул.Ленина,16.</w:t>
      </w:r>
    </w:p>
    <w:p>
      <w:pPr>
        <w:ind w:firstLine="709"/>
        <w:spacing/>
        <w:contextualSpacing/>
        <w:jc w:val="both"/>
        <w:rPr>
          <w:color w:val="000000"/>
          <w:sz w:val="24"/>
          <w:szCs w:val="24"/>
        </w:rPr>
      </w:pPr>
      <w:r>
        <w:rPr>
          <w:color w:val="000000"/>
          <w:sz w:val="24"/>
          <w:szCs w:val="24"/>
        </w:rPr>
        <w:t xml:space="preserve">В сфере торговли создано </w:t>
      </w:r>
      <w:r>
        <w:rPr>
          <w:b/>
          <w:bCs/>
          <w:color w:val="000000"/>
          <w:sz w:val="24"/>
          <w:szCs w:val="24"/>
        </w:rPr>
        <w:t>84</w:t>
      </w:r>
      <w:r>
        <w:rPr>
          <w:color w:val="000000"/>
          <w:sz w:val="24"/>
          <w:szCs w:val="24"/>
        </w:rPr>
        <w:t xml:space="preserve"> рабочих места.</w:t>
      </w:r>
    </w:p>
    <w:p>
      <w:pPr>
        <w:ind w:firstLine="709"/>
        <w:spacing/>
        <w:contextualSpacing/>
        <w:jc w:val="both"/>
        <w:widowControl/>
        <w:rPr>
          <w:color w:val="000000"/>
          <w:sz w:val="24"/>
          <w:szCs w:val="24"/>
        </w:rPr>
      </w:pPr>
      <w:r>
        <w:rPr>
          <w:color w:val="000000"/>
          <w:sz w:val="24"/>
          <w:szCs w:val="24"/>
        </w:rPr>
      </w:r>
    </w:p>
    <w:p>
      <w:pPr>
        <w:ind w:firstLine="737"/>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bookmarkStart w:id="4" w:name="_Hlk68701145"/>
      <w:r/>
      <w:r>
        <w:rPr>
          <w:color w:val="000000"/>
          <w:sz w:val="24"/>
          <w:szCs w:val="24"/>
        </w:rPr>
        <w:t>О</w:t>
      </w:r>
      <w:r>
        <w:rPr>
          <w:color w:val="000000"/>
          <w:sz w:val="24"/>
          <w:szCs w:val="24"/>
        </w:rPr>
        <w:t>борот розничной торговли за 2025 года увеличился по сравнению с аналогичным периодом 2024 года на 1,1%. Населению реализовано товаров на 15,96 млн. руб.</w:t>
      </w:r>
      <w:r>
        <w:rPr>
          <w:color w:val="000000"/>
          <w:sz w:val="24"/>
          <w:szCs w:val="24"/>
        </w:rPr>
      </w:r>
    </w:p>
    <w:p>
      <w:pPr>
        <w:ind w:firstLine="737"/>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t>Объем платных услуг населению по крупным и средним организациям за 2025 года снизился на 1,1%. Объем оказанных населению платных услуг сложился на уровне 4 297,68 млн. руб.</w:t>
      </w:r>
    </w:p>
    <w:p>
      <w:pPr>
        <w:ind w:firstLine="737"/>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pacing w:val="-3" w:percent="97"/>
          <w:sz w:val="24"/>
          <w:szCs w:val="24"/>
        </w:rPr>
      </w:pPr>
      <w:r>
        <w:rPr>
          <w:color w:val="000000"/>
          <w:spacing w:val="-3" w:percent="97"/>
          <w:sz w:val="24"/>
          <w:szCs w:val="24"/>
        </w:rPr>
        <w:t>В заведениях общественного питания за 2025 года населению были оказаны услуги на 0,55 млрд рублей, что на 4,3% больше чем за аналогичный период 2024 года.</w:t>
      </w:r>
    </w:p>
    <w:p>
      <w:pPr>
        <w:ind w:firstLine="709"/>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pacing w:val="-3" w:percent="97"/>
          <w:sz w:val="24"/>
          <w:szCs w:val="24"/>
        </w:rPr>
      </w:pPr>
      <w:r/>
      <w:bookmarkEnd w:id="4"/>
      <w:r/>
      <w:r>
        <w:rPr>
          <w:color w:val="000000"/>
          <w:spacing w:val="-3" w:percent="97"/>
          <w:sz w:val="24"/>
          <w:szCs w:val="24"/>
        </w:rPr>
      </w:r>
    </w:p>
    <w:p>
      <w:pPr>
        <w:ind w:firstLine="709"/>
        <w:spacing/>
        <w:contextualSpacing/>
        <w:jc w:val="center"/>
        <w:widowControl/>
        <w:rPr>
          <w:b/>
          <w:bCs/>
          <w:color w:val="000000"/>
          <w:spacing w:val="-4" w:percent="97"/>
          <w:sz w:val="24"/>
          <w:szCs w:val="24"/>
        </w:rPr>
      </w:pPr>
      <w:r>
        <w:rPr>
          <w:b/>
          <w:bCs/>
          <w:color w:val="000000"/>
          <w:spacing w:val="-4" w:percent="97"/>
          <w:sz w:val="24"/>
          <w:szCs w:val="24"/>
        </w:rPr>
        <w:t>12. ОБРАЗОВАНИЕ</w:t>
      </w:r>
    </w:p>
    <w:p>
      <w:pPr>
        <w:ind w:firstLine="709"/>
        <w:spacing/>
        <w:contextualSpacing/>
        <w:jc w:val="center"/>
        <w:widowControl/>
        <w:rPr>
          <w:b/>
          <w:bCs/>
          <w:color w:val="000000"/>
          <w:spacing w:val="-4" w:percent="97"/>
          <w:sz w:val="24"/>
          <w:szCs w:val="24"/>
        </w:rPr>
      </w:pPr>
      <w:r>
        <w:rPr>
          <w:b/>
          <w:bCs/>
          <w:color w:val="000000"/>
          <w:spacing w:val="-4" w:percent="97"/>
          <w:sz w:val="24"/>
          <w:szCs w:val="24"/>
        </w:rPr>
      </w:r>
    </w:p>
    <w:p>
      <w:pPr>
        <w:pStyle w:val="para126"/>
        <w:ind w:left="0" w:right="0" w:firstLine="709"/>
        <w:spacing w:before="0" w:after="0"/>
        <w:contextualSpacing/>
        <w:jc w:val="both"/>
        <w:widowControl/>
        <w:tabs defTabSz="708">
          <w:tab w:val="left" w:pos="567" w:leader="none"/>
        </w:tabs>
        <w:rPr>
          <w:color w:val="000000"/>
          <w:sz w:val="24"/>
          <w:szCs w:val="24"/>
        </w:rPr>
      </w:pPr>
      <w:r>
        <w:rPr>
          <w:color w:val="000000"/>
          <w:sz w:val="24"/>
          <w:szCs w:val="24"/>
        </w:rPr>
        <w:t>В Анжеро-Судженском городском округе функционируют 27 дошкольных образовательных учреждений, 13 общеобразовательных организаций, из них 2 учреждения для детей с ограниченными возможностями здоровья, 9 учреждений дополнительного образования детей (учреждения управления образования – 5, управление культуры – 4).</w:t>
      </w:r>
    </w:p>
    <w:p>
      <w:pPr>
        <w:pStyle w:val="para126"/>
        <w:ind w:left="0" w:right="0" w:firstLine="709"/>
        <w:spacing w:before="0" w:after="0"/>
        <w:contextualSpacing/>
        <w:jc w:val="both"/>
        <w:widowControl/>
        <w:tabs defTabSz="708">
          <w:tab w:val="left" w:pos="567" w:leader="none"/>
        </w:tabs>
        <w:rPr>
          <w:color w:val="000000"/>
          <w:sz w:val="24"/>
          <w:szCs w:val="24"/>
        </w:rPr>
      </w:pPr>
      <w:r>
        <w:rPr>
          <w:color w:val="000000"/>
          <w:sz w:val="24"/>
          <w:szCs w:val="24"/>
        </w:rPr>
        <w:t xml:space="preserve">Согласно письма Министерства образования Кузбасса от 14.01.2025 №279/04-02 определён критерий достижения средней заработной платы педагогических работников на 2025 год. </w:t>
      </w:r>
    </w:p>
    <w:p>
      <w:pPr>
        <w:pStyle w:val="para126"/>
        <w:ind w:left="0" w:right="0" w:firstLine="709"/>
        <w:spacing w:before="0" w:after="0"/>
        <w:contextualSpacing/>
        <w:jc w:val="both"/>
        <w:widowControl/>
        <w:tabs defTabSz="708">
          <w:tab w:val="left" w:pos="567" w:leader="none"/>
        </w:tabs>
        <w:rPr>
          <w:color w:val="000000"/>
          <w:sz w:val="24"/>
          <w:szCs w:val="24"/>
        </w:rPr>
      </w:pPr>
      <w:r>
        <w:rPr>
          <w:color w:val="000000"/>
          <w:sz w:val="24"/>
          <w:szCs w:val="24"/>
        </w:rPr>
        <w:t xml:space="preserve">Управлением образования осуществляется контроль по обеспечению средней заработной платы педагогических работников в соответствии с установленным размером. </w:t>
      </w:r>
    </w:p>
    <w:p>
      <w:pPr>
        <w:pStyle w:val="para126"/>
        <w:ind w:left="0" w:right="0" w:firstLine="709"/>
        <w:spacing w:before="0" w:after="0"/>
        <w:contextualSpacing/>
        <w:jc w:val="both"/>
        <w:widowControl/>
        <w:tabs defTabSz="708">
          <w:tab w:val="left" w:pos="567" w:leader="none"/>
        </w:tabs>
        <w:rPr>
          <w:color w:val="000000"/>
          <w:sz w:val="24"/>
          <w:szCs w:val="24"/>
          <w:lang w:eastAsia="ru-ru"/>
        </w:rPr>
      </w:pPr>
      <w:r>
        <w:rPr>
          <w:color w:val="000000"/>
          <w:sz w:val="24"/>
          <w:szCs w:val="24"/>
          <w:lang w:eastAsia="ru-ru"/>
        </w:rPr>
        <w:t>По итогам  2025 года средняя заработная плата педагогических работников составила:</w:t>
      </w:r>
    </w:p>
    <w:p>
      <w:pPr>
        <w:pStyle w:val="para126"/>
        <w:ind w:left="0" w:right="0" w:firstLine="709"/>
        <w:spacing w:before="0" w:after="0"/>
        <w:contextualSpacing/>
        <w:jc w:val="both"/>
        <w:widowControl/>
        <w:tabs defTabSz="708">
          <w:tab w:val="left" w:pos="567" w:leader="none"/>
        </w:tabs>
        <w:rPr>
          <w:color w:val="000000"/>
          <w:sz w:val="24"/>
          <w:szCs w:val="24"/>
        </w:rPr>
      </w:pPr>
      <w:r>
        <w:rPr>
          <w:color w:val="000000"/>
          <w:sz w:val="24"/>
          <w:szCs w:val="24"/>
          <w:lang w:eastAsia="ru-ru"/>
        </w:rPr>
        <w:t>-</w:t>
      </w:r>
      <w:r>
        <w:rPr>
          <w:b/>
          <w:color w:val="000000"/>
          <w:sz w:val="24"/>
          <w:szCs w:val="24"/>
          <w:lang w:eastAsia="ru-ru"/>
        </w:rPr>
        <w:t xml:space="preserve">общего образования </w:t>
      </w:r>
      <w:r>
        <w:rPr>
          <w:color w:val="000000"/>
          <w:sz w:val="24"/>
          <w:szCs w:val="24"/>
          <w:lang w:eastAsia="ru-ru"/>
        </w:rPr>
        <w:t xml:space="preserve">– </w:t>
      </w:r>
      <w:r>
        <w:rPr>
          <w:color w:val="000000"/>
          <w:sz w:val="24"/>
          <w:szCs w:val="24"/>
        </w:rPr>
        <w:t>60 602,33</w:t>
      </w:r>
      <w:r>
        <w:rPr>
          <w:color w:val="000000"/>
          <w:sz w:val="24"/>
          <w:szCs w:val="24"/>
          <w:lang w:eastAsia="ru-ru"/>
        </w:rPr>
        <w:t xml:space="preserve"> руб.  Согласно письма Министерства образования Кузбасса средняя заработная плата педагогических работников общего образования (без учета федеральных выплат за классное руководство) по итогам 2025 года должна составлять </w:t>
      </w:r>
      <w:r>
        <w:rPr>
          <w:color w:val="000000"/>
          <w:sz w:val="24"/>
          <w:szCs w:val="24"/>
        </w:rPr>
        <w:t>60602,33</w:t>
      </w:r>
      <w:r>
        <w:rPr>
          <w:color w:val="000000"/>
          <w:sz w:val="24"/>
          <w:szCs w:val="24"/>
          <w:lang w:eastAsia="ru-ru"/>
        </w:rPr>
        <w:t xml:space="preserve"> руб., </w:t>
      </w:r>
      <w:r>
        <w:rPr>
          <w:color w:val="000000"/>
          <w:sz w:val="24"/>
          <w:szCs w:val="24"/>
        </w:rPr>
        <w:t xml:space="preserve">это выше установленного планового значения на 2025 год и достигнутого уровня заработной платы в 2024 году (58761,56 руб.) на 3,13%.  </w:t>
      </w:r>
      <w:r>
        <w:rPr>
          <w:color w:val="000000"/>
          <w:sz w:val="24"/>
          <w:szCs w:val="24"/>
        </w:rPr>
      </w:r>
    </w:p>
    <w:p>
      <w:pPr>
        <w:ind w:firstLine="709"/>
        <w:spacing/>
        <w:contextualSpacing/>
        <w:jc w:val="both"/>
        <w:widowControl/>
        <w:tabs defTabSz="708">
          <w:tab w:val="left" w:pos="567" w:leader="none"/>
        </w:tabs>
        <w:rPr>
          <w:color w:val="000000"/>
          <w:sz w:val="24"/>
          <w:szCs w:val="24"/>
          <w:lang w:eastAsia="ru-ru"/>
        </w:rPr>
      </w:pPr>
      <w:r>
        <w:rPr>
          <w:color w:val="000000"/>
          <w:sz w:val="24"/>
          <w:szCs w:val="24"/>
        </w:rPr>
        <w:t>-</w:t>
      </w:r>
      <w:r>
        <w:rPr>
          <w:b/>
          <w:color w:val="000000"/>
          <w:sz w:val="24"/>
          <w:szCs w:val="24"/>
        </w:rPr>
        <w:t xml:space="preserve">дошкольного образования </w:t>
      </w:r>
      <w:r>
        <w:rPr>
          <w:color w:val="000000"/>
          <w:sz w:val="24"/>
          <w:szCs w:val="24"/>
        </w:rPr>
        <w:t xml:space="preserve">– </w:t>
      </w:r>
      <w:r>
        <w:rPr>
          <w:rFonts w:eastAsia="Calibri"/>
          <w:color w:val="000000"/>
          <w:sz w:val="24"/>
          <w:szCs w:val="24"/>
        </w:rPr>
        <w:t>46 601,61</w:t>
      </w:r>
      <w:r>
        <w:rPr>
          <w:color w:val="000000"/>
          <w:sz w:val="24"/>
          <w:szCs w:val="24"/>
        </w:rPr>
        <w:t xml:space="preserve"> руб. </w:t>
      </w:r>
      <w:r>
        <w:rPr>
          <w:color w:val="000000"/>
          <w:sz w:val="24"/>
          <w:szCs w:val="24"/>
          <w:lang w:eastAsia="ru-ru"/>
        </w:rPr>
        <w:t xml:space="preserve">Средняя заработная плата педагогических работников в дошкольном образовании должна быть не ниже, чем средняя заработная плата в общем образовании Анжеро-Судженского городского округа. </w:t>
      </w:r>
      <w:r>
        <w:rPr>
          <w:color w:val="000000"/>
          <w:sz w:val="24"/>
          <w:szCs w:val="24"/>
          <w:lang w:eastAsia="ru-ru"/>
        </w:rPr>
      </w:r>
    </w:p>
    <w:p>
      <w:pPr>
        <w:ind w:firstLine="709"/>
        <w:spacing/>
        <w:contextualSpacing/>
        <w:jc w:val="both"/>
        <w:widowControl/>
        <w:tabs defTabSz="708">
          <w:tab w:val="left" w:pos="567" w:leader="none"/>
        </w:tabs>
        <w:rPr>
          <w:color w:val="000000"/>
          <w:sz w:val="24"/>
          <w:szCs w:val="24"/>
        </w:rPr>
      </w:pPr>
      <w:r>
        <w:rPr>
          <w:b/>
          <w:color w:val="000000"/>
          <w:sz w:val="24"/>
          <w:szCs w:val="24"/>
        </w:rPr>
        <w:t xml:space="preserve">-учреждений дополнительного образования </w:t>
      </w:r>
      <w:r>
        <w:rPr>
          <w:color w:val="000000"/>
          <w:sz w:val="24"/>
          <w:szCs w:val="24"/>
        </w:rPr>
        <w:t>– 64711,63 руб. (управление образования – 63264,59 руб., управление культуры – 54 798 руб., комитет по физической культуре, спорту и молодёжной политике – 49121,27 руб.). Средняя заработная плата педагогических работников в дополнительном образовании должна быть не ниже, чем средняя заработная плата учителей общеобразовательных организаций Анжеро-Судженского городского округа.</w:t>
      </w:r>
    </w:p>
    <w:p>
      <w:pPr>
        <w:ind w:firstLine="709"/>
        <w:spacing/>
        <w:contextualSpacing/>
        <w:jc w:val="both"/>
        <w:widowControl/>
        <w:tabs defTabSz="708">
          <w:tab w:val="left" w:pos="567" w:leader="none"/>
        </w:tabs>
        <w:rPr>
          <w:color w:val="000000"/>
          <w:sz w:val="24"/>
          <w:szCs w:val="24"/>
        </w:rPr>
      </w:pPr>
      <w:r>
        <w:rPr>
          <w:color w:val="000000"/>
          <w:sz w:val="24"/>
          <w:szCs w:val="24"/>
          <w:lang w:eastAsia="ru-ru"/>
        </w:rPr>
        <w:t xml:space="preserve">Среднемесячная заработная плата в общем образовании по итогам за 6 месяцев 2025 года составила </w:t>
      </w:r>
      <w:r>
        <w:rPr>
          <w:color w:val="000000"/>
          <w:sz w:val="24"/>
          <w:szCs w:val="24"/>
        </w:rPr>
        <w:t>46601,61</w:t>
      </w:r>
      <w:r>
        <w:rPr>
          <w:b/>
          <w:color w:val="000000"/>
          <w:sz w:val="24"/>
          <w:szCs w:val="24"/>
        </w:rPr>
        <w:t xml:space="preserve"> </w:t>
      </w:r>
      <w:r>
        <w:rPr>
          <w:color w:val="000000"/>
          <w:sz w:val="24"/>
          <w:szCs w:val="24"/>
        </w:rPr>
        <w:t>руб., это выше установленного планового значения на 2025 год и достигнутого уровня заработной платы за 2024 году (46039,0 руб.) на 1,22%.</w:t>
      </w:r>
      <w:r>
        <w:rPr>
          <w:color w:val="000000"/>
          <w:sz w:val="24"/>
          <w:szCs w:val="24"/>
        </w:rPr>
      </w:r>
    </w:p>
    <w:p>
      <w:pPr>
        <w:ind w:firstLine="709"/>
        <w:spacing/>
        <w:contextualSpacing/>
        <w:jc w:val="both"/>
        <w:widowControl/>
        <w:tabs defTabSz="708">
          <w:tab w:val="left" w:pos="567" w:leader="none"/>
        </w:tabs>
        <w:rPr>
          <w:color w:val="000000"/>
          <w:sz w:val="24"/>
          <w:szCs w:val="24"/>
        </w:rPr>
      </w:pPr>
      <w:r>
        <w:rPr>
          <w:color w:val="000000"/>
          <w:sz w:val="24"/>
          <w:szCs w:val="24"/>
        </w:rPr>
        <w:t>Среднемесячная заработная плата учителей общеобразовательных организаций по итогам за 2025 года составляет 62 610,67 руб. Фактически достигнутое значение в целом выше установленного размера на 1,65%.</w:t>
      </w:r>
    </w:p>
    <w:p>
      <w:pPr>
        <w:ind w:firstLine="709"/>
        <w:spacing/>
        <w:contextualSpacing/>
        <w:jc w:val="both"/>
        <w:widowControl/>
        <w:tabs defTabSz="708">
          <w:tab w:val="left" w:pos="567" w:leader="none"/>
        </w:tabs>
        <w:rPr>
          <w:color w:val="000000"/>
          <w:sz w:val="24"/>
          <w:szCs w:val="24"/>
        </w:rPr>
      </w:pPr>
      <w:r>
        <w:rPr>
          <w:color w:val="000000"/>
          <w:sz w:val="24"/>
          <w:szCs w:val="24"/>
        </w:rPr>
      </w:r>
    </w:p>
    <w:p>
      <w:pPr>
        <w:ind w:firstLine="709"/>
        <w:spacing/>
        <w:contextualSpacing/>
        <w:jc w:val="center"/>
        <w:widowControl/>
        <w:rPr>
          <w:b/>
          <w:color w:val="000000"/>
          <w:sz w:val="24"/>
          <w:szCs w:val="24"/>
          <w:u w:color="auto" w:val="single"/>
        </w:rPr>
      </w:pPr>
      <w:r>
        <w:rPr>
          <w:b/>
          <w:color w:val="000000"/>
          <w:sz w:val="24"/>
          <w:szCs w:val="24"/>
          <w:u w:color="auto" w:val="single"/>
        </w:rPr>
        <w:t>Дошкольное образование</w:t>
      </w:r>
    </w:p>
    <w:p>
      <w:pPr>
        <w:pStyle w:val="para115"/>
        <w:ind w:firstLine="709"/>
        <w:spacing/>
        <w:jc w:val="both"/>
        <w:widowControl/>
        <w:tabs defTabSz="708">
          <w:tab w:val="left" w:pos="567"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0"/>
        <w:rPr>
          <w:color w:val="000000"/>
          <w:sz w:val="24"/>
          <w:szCs w:val="24"/>
          <w:lang w:eastAsia="ru-ru"/>
        </w:rPr>
      </w:pPr>
      <w:r>
        <w:rPr>
          <w:color w:val="000000"/>
          <w:sz w:val="24"/>
          <w:szCs w:val="24"/>
          <w:lang w:eastAsia="ru-ru"/>
        </w:rPr>
        <w:t>Система дошкольного образования в Анжеро-Судженском городском округе представляет собой сеть муниципальных образовательных дошкольных организаций, реализующих основную общеобразовательную программу дошкольного образования и осуществляющих присмотр и уход за детьми.</w:t>
      </w:r>
    </w:p>
    <w:p>
      <w:pPr>
        <w:ind w:firstLine="709"/>
        <w:spacing/>
        <w:jc w:val="both"/>
        <w:widowControl/>
        <w:tabs defTabSz="708">
          <w:tab w:val="left" w:pos="567" w:leader="none"/>
        </w:tabs>
        <w:rPr>
          <w:color w:val="000000"/>
          <w:sz w:val="24"/>
          <w:szCs w:val="24"/>
          <w:shd w:val="clear" w:fill="eeece1"/>
        </w:rPr>
      </w:pPr>
      <w:r>
        <w:rPr>
          <w:color w:val="000000"/>
          <w:sz w:val="24"/>
          <w:szCs w:val="24"/>
          <w:shd w:val="clear" w:fill="eeece1"/>
        </w:rPr>
        <w:t>В дошкольные образовательные организации по состоянию на 30.09.2025 года зачислено 2309 воспитанников. Актуальная очередь в дошкольные образовательные учреждения отсутствует.</w:t>
      </w:r>
    </w:p>
    <w:p>
      <w:pPr>
        <w:ind w:firstLine="709"/>
        <w:spacing/>
        <w:jc w:val="both"/>
        <w:widowControl/>
        <w:tabs defTabSz="708">
          <w:tab w:val="left" w:pos="567" w:leader="none"/>
        </w:tabs>
        <w:rPr>
          <w:color w:val="000000"/>
          <w:sz w:val="24"/>
          <w:szCs w:val="24"/>
          <w:shd w:val="clear" w:fill="eeece1"/>
        </w:rPr>
      </w:pPr>
      <w:r>
        <w:rPr>
          <w:color w:val="000000"/>
          <w:sz w:val="24"/>
          <w:szCs w:val="24"/>
          <w:shd w:val="clear" w:fill="eeece1"/>
        </w:rPr>
        <w:t xml:space="preserve">Из 27-и дошкольных образовательных организаций созданы условия для раннего развития детей в возрасте до трёх лет, реализация программы психолого- педагогической, методической и консультативной помощи родителям детей, получающих дошкольное образование в семье </w:t>
      </w:r>
      <w:r>
        <w:rPr>
          <w:color w:val="000000"/>
          <w:sz w:val="24"/>
          <w:szCs w:val="24"/>
        </w:rPr>
        <w:t>в шести организациях – ДС №3, 5, 9, 11, 12, 42</w:t>
      </w:r>
      <w:r>
        <w:rPr>
          <w:color w:val="000000"/>
          <w:sz w:val="24"/>
          <w:szCs w:val="24"/>
          <w:shd w:val="clear" w:fill="eeece1"/>
        </w:rPr>
        <w:t>.</w:t>
      </w:r>
      <w:r>
        <w:rPr>
          <w:color w:val="000000"/>
          <w:sz w:val="24"/>
          <w:szCs w:val="24"/>
          <w:shd w:val="clear" w:fill="eeece1"/>
        </w:rPr>
      </w:r>
    </w:p>
    <w:p>
      <w:pPr>
        <w:ind w:firstLine="709"/>
        <w:spacing/>
        <w:jc w:val="both"/>
        <w:widowControl/>
        <w:tabs defTabSz="708">
          <w:tab w:val="left" w:pos="567" w:leader="none"/>
        </w:tabs>
        <w:rPr>
          <w:b/>
          <w:color w:val="000000"/>
          <w:sz w:val="24"/>
          <w:szCs w:val="24"/>
        </w:rPr>
      </w:pPr>
      <w:r>
        <w:rPr>
          <w:color w:val="000000"/>
          <w:sz w:val="24"/>
          <w:szCs w:val="24"/>
          <w:shd w:val="clear" w:fill="eeece1"/>
        </w:rPr>
        <w:t>В</w:t>
      </w:r>
      <w:r>
        <w:rPr>
          <w:color w:val="000000"/>
          <w:sz w:val="24"/>
          <w:szCs w:val="24"/>
        </w:rPr>
        <w:t xml:space="preserve"> связи со снижением численности воспитанников в дошкольном образовании</w:t>
      </w:r>
      <w:r>
        <w:rPr>
          <w:color w:val="000000"/>
          <w:sz w:val="24"/>
          <w:szCs w:val="24"/>
          <w:shd w:val="clear" w:fill="eeece1"/>
        </w:rPr>
        <w:t xml:space="preserve"> осуществлена </w:t>
      </w:r>
      <w:r>
        <w:rPr>
          <w:color w:val="000000"/>
          <w:sz w:val="24"/>
          <w:szCs w:val="24"/>
        </w:rPr>
        <w:t>процедура ликвидации МБДОУ «ДС № 36».</w:t>
      </w:r>
      <w:r>
        <w:rPr>
          <w:b/>
          <w:color w:val="000000"/>
          <w:sz w:val="24"/>
          <w:szCs w:val="24"/>
        </w:rPr>
      </w:r>
    </w:p>
    <w:p>
      <w:pPr>
        <w:ind w:firstLine="709"/>
        <w:spacing/>
        <w:contextualSpacing/>
        <w:jc w:val="both"/>
        <w:widowControl/>
        <w:rPr>
          <w:color w:val="000000"/>
          <w:sz w:val="24"/>
          <w:szCs w:val="24"/>
          <w:lang w:eastAsia="en-us"/>
        </w:rPr>
      </w:pPr>
      <w:r>
        <w:rPr>
          <w:highlight w:val="yellow"/>
          <w:color w:val="000000"/>
          <w:sz w:val="24"/>
          <w:szCs w:val="24"/>
          <w:lang w:eastAsia="en-us"/>
        </w:rPr>
        <w:t xml:space="preserve"> </w:t>
      </w:r>
      <w:r>
        <w:rPr>
          <w:color w:val="000000"/>
          <w:sz w:val="24"/>
          <w:szCs w:val="24"/>
          <w:lang w:eastAsia="en-us"/>
        </w:rPr>
      </w:r>
    </w:p>
    <w:p>
      <w:pPr>
        <w:ind w:firstLine="709"/>
        <w:spacing/>
        <w:contextualSpacing/>
        <w:jc w:val="center"/>
        <w:widowControl/>
        <w:rPr>
          <w:b/>
          <w:color w:val="000000"/>
          <w:sz w:val="24"/>
          <w:szCs w:val="24"/>
          <w:u w:color="auto" w:val="single"/>
        </w:rPr>
      </w:pPr>
      <w:r>
        <w:rPr>
          <w:b/>
          <w:color w:val="000000"/>
          <w:sz w:val="24"/>
          <w:szCs w:val="24"/>
          <w:u w:color="auto" w:val="single"/>
        </w:rPr>
        <w:t>Общее образование</w:t>
      </w:r>
    </w:p>
    <w:p>
      <w:pPr>
        <w:ind w:firstLine="709"/>
        <w:spacing/>
        <w:jc w:val="both"/>
        <w:widowControl/>
        <w:tabs defTabSz="708">
          <w:tab w:val="left" w:pos="567" w:leader="none"/>
        </w:tabs>
        <w:rPr>
          <w:color w:val="000000"/>
          <w:sz w:val="24"/>
          <w:szCs w:val="24"/>
        </w:rPr>
      </w:pPr>
      <w:r>
        <w:rPr>
          <w:color w:val="000000"/>
          <w:sz w:val="24"/>
          <w:szCs w:val="24"/>
        </w:rPr>
        <w:t xml:space="preserve">Согласно статистической отчётности по форме №ОО-1 на 20.09.2025г. численность обучающихся в общем образовании составляет 8064 чел., в том числе во 2-ю смену 1264 обучающийся. Доля обучающихся в муниципальных общеобразовательных учреждениях, занимающихся во вторую смену составляет 15,7%. </w:t>
      </w:r>
    </w:p>
    <w:p>
      <w:pPr>
        <w:ind w:firstLine="709"/>
        <w:spacing/>
        <w:jc w:val="both"/>
        <w:widowControl/>
        <w:tabs defTabSz="708">
          <w:tab w:val="left" w:pos="567" w:leader="none"/>
        </w:tabs>
        <w:rPr>
          <w:color w:val="000000"/>
          <w:sz w:val="24"/>
          <w:szCs w:val="24"/>
        </w:rPr>
      </w:pPr>
      <w:r>
        <w:rPr>
          <w:color w:val="000000"/>
          <w:sz w:val="24"/>
          <w:szCs w:val="24"/>
        </w:rPr>
        <w:t xml:space="preserve">За период с 2015 по 2024 год доля обучающихся в муниципальных общеобразовательных учреждениях, занимающихся во вторую смену с 23,7% (2015 год) снизилась на 8,0% - за счёт закрытия групп дошкольных образовательных организаций, находящихся в школах №12, 17, 38; использование ступенчатого расписания; открытия с 01.09.2023г. новой МАОУ «СОШ №1»; завершения капитального ремонта МБОУ «ООШ №8» (функционирует с 01.09.2023). </w:t>
      </w:r>
    </w:p>
    <w:p>
      <w:pPr>
        <w:ind w:firstLine="709"/>
        <w:spacing/>
        <w:jc w:val="both"/>
        <w:widowControl/>
        <w:tabs defTabSz="708">
          <w:tab w:val="left" w:pos="567" w:leader="none"/>
        </w:tabs>
        <w:rPr>
          <w:color w:val="000000"/>
          <w:sz w:val="24"/>
          <w:szCs w:val="24"/>
        </w:rPr>
      </w:pPr>
      <w:r>
        <w:rPr>
          <w:color w:val="000000"/>
          <w:sz w:val="24"/>
          <w:szCs w:val="24"/>
        </w:rPr>
        <w:t>Организовано временное трудоустройство несовершеннолетних детей в возрасте от 14 до 18 лет в свободное от учёбы время. По итогам 2025 года трудоустроено в общеобразовательные организации 1317 обучающихся. Заработную плату подросткам начисляют из расчёта не ниже минимального размера оплаты труда (с 1 января 2025 года – 29 172 рубля) пропорционально отработанному времени. Дополнительно служба занятости выплачивает несовершеннолетнему материальную поддержку.</w:t>
      </w:r>
    </w:p>
    <w:p>
      <w:pPr>
        <w:ind w:firstLine="709"/>
        <w:spacing/>
        <w:contextualSpacing/>
        <w:jc w:val="center"/>
        <w:widowControl/>
        <w:rPr>
          <w:rFonts w:eastAsia="Calibri"/>
          <w:b/>
          <w:color w:val="000000"/>
          <w:sz w:val="24"/>
          <w:szCs w:val="24"/>
          <w:lang w:eastAsia="en-us"/>
        </w:rPr>
      </w:pPr>
      <w:r>
        <w:rPr>
          <w:rFonts w:eastAsia="Calibri"/>
          <w:b/>
          <w:color w:val="000000"/>
          <w:sz w:val="24"/>
          <w:szCs w:val="24"/>
          <w:lang w:eastAsia="en-us"/>
        </w:rPr>
      </w:r>
    </w:p>
    <w:p>
      <w:pPr>
        <w:ind w:firstLine="709"/>
        <w:spacing/>
        <w:contextualSpacing/>
        <w:jc w:val="center"/>
        <w:widowControl/>
        <w:rPr>
          <w:rFonts w:eastAsia="Calibri"/>
          <w:b/>
          <w:color w:val="000000"/>
          <w:sz w:val="24"/>
          <w:szCs w:val="24"/>
          <w:u w:color="auto" w:val="single"/>
          <w:lang w:eastAsia="en-us"/>
        </w:rPr>
      </w:pPr>
      <w:r>
        <w:rPr>
          <w:rFonts w:eastAsia="Calibri"/>
          <w:b/>
          <w:color w:val="000000"/>
          <w:sz w:val="24"/>
          <w:szCs w:val="24"/>
          <w:u w:color="auto" w:val="single"/>
          <w:lang w:eastAsia="en-us"/>
        </w:rPr>
        <w:t>Дополнительное образование</w:t>
      </w:r>
    </w:p>
    <w:p>
      <w:pPr>
        <w:ind w:firstLine="709"/>
        <w:spacing/>
        <w:jc w:val="both"/>
        <w:widowControl/>
        <w:tabs defTabSz="708">
          <w:tab w:val="left" w:pos="567" w:leader="none"/>
        </w:tabs>
        <w:rPr>
          <w:color w:val="000000"/>
          <w:sz w:val="24"/>
          <w:szCs w:val="24"/>
        </w:rPr>
      </w:pPr>
      <w:r>
        <w:rPr>
          <w:color w:val="000000"/>
          <w:sz w:val="24"/>
          <w:szCs w:val="24"/>
        </w:rPr>
        <w:t>Дополнительное образование даёт ребёнку возможность развить творческие способности, приобрести дополнительные знания, умения и навыки. Отдавая своего ребёнка в какой-либо кружок, спортивную секцию или музыкальную школу, родители предоставляют ему возможность дополнительного развития. Дополнительное образование детей осуществляется в образовательных учреждениях дополнительного образования детей, образовательных учреждениях, реализующих основные образовательные программы.</w:t>
      </w:r>
    </w:p>
    <w:p>
      <w:pPr>
        <w:pStyle w:val="para85"/>
        <w:ind w:firstLine="709"/>
        <w:spacing/>
        <w:jc w:val="both"/>
        <w:rPr>
          <w:color w:val="000000"/>
          <w:sz w:val="24"/>
        </w:rPr>
      </w:pPr>
      <w:r>
        <w:rPr>
          <w:color w:val="000000"/>
          <w:spacing w:val="-3" w:percent="97"/>
          <w:sz w:val="24"/>
        </w:rPr>
        <w:t xml:space="preserve">Численность обучающихся на 30.12.2025, </w:t>
      </w:r>
      <w:r>
        <w:rPr>
          <w:color w:val="000000"/>
          <w:sz w:val="24"/>
        </w:rPr>
        <w:t xml:space="preserve">получающих услуги по дополнительному образованию в организациях </w:t>
      </w:r>
      <w:r>
        <w:rPr>
          <w:color w:val="000000"/>
          <w:spacing w:val="-3" w:percent="97"/>
          <w:sz w:val="24"/>
        </w:rPr>
        <w:t xml:space="preserve">дополнительного образования, </w:t>
      </w:r>
      <w:r>
        <w:rPr>
          <w:color w:val="000000"/>
          <w:sz w:val="24"/>
        </w:rPr>
        <w:t>общеобразовательных учреждениях</w:t>
      </w:r>
      <w:r>
        <w:rPr>
          <w:color w:val="000000"/>
          <w:spacing w:val="-3" w:percent="97"/>
          <w:sz w:val="24"/>
        </w:rPr>
        <w:t xml:space="preserve">, составила 10631 человек. </w:t>
      </w:r>
      <w:r>
        <w:rPr>
          <w:color w:val="000000"/>
          <w:sz w:val="24"/>
        </w:rPr>
        <w:t xml:space="preserve">Общая численность детей в возрасте от 5 до 18 лет в Анжеро-Судженском городском округе 11681 человек. </w:t>
      </w:r>
      <w:r>
        <w:rPr>
          <w:color w:val="000000"/>
          <w:sz w:val="24"/>
        </w:rPr>
      </w:r>
    </w:p>
    <w:p>
      <w:pPr>
        <w:ind w:firstLine="709"/>
        <w:spacing/>
        <w:jc w:val="both"/>
        <w:widowControl/>
        <w:tabs defTabSz="708">
          <w:tab w:val="left" w:pos="567" w:leader="none"/>
        </w:tabs>
        <w:rPr>
          <w:color w:val="000000"/>
          <w:sz w:val="24"/>
          <w:szCs w:val="24"/>
          <w:shd w:val="clear" w:fill="ffffff"/>
        </w:rPr>
      </w:pPr>
      <w:r>
        <w:rPr>
          <w:color w:val="000000"/>
          <w:sz w:val="24"/>
          <w:szCs w:val="24"/>
          <w:shd w:val="clear" w:fill="ffffff"/>
        </w:rPr>
        <w:t xml:space="preserve">Учреждения дополнительного образования принимают участие в конкурсном отборе систем воспитательной работы муниципальных образований на предоставление субсидии из бюджета Кемеровской области-Кузбасс на приобретение спортивного и игрового оборудования в организации отдыха детей и их оздоровления всех типов в рамках реализации мероприятия «Организация круглогодичного отдыха, оздоровления и занятости обучающихся» государственной программы Кемеровской области «Развитие системы образования Кузбасса» на 2014-2025 годы. </w:t>
      </w:r>
    </w:p>
    <w:p>
      <w:pPr>
        <w:ind w:firstLine="709"/>
        <w:spacing/>
        <w:jc w:val="both"/>
        <w:widowControl/>
        <w:tabs defTabSz="708">
          <w:tab w:val="left" w:pos="567" w:leader="none"/>
        </w:tabs>
        <w:rPr>
          <w:color w:val="000000"/>
          <w:sz w:val="24"/>
          <w:szCs w:val="24"/>
        </w:rPr>
      </w:pPr>
      <w:r>
        <w:rPr>
          <w:color w:val="000000"/>
          <w:sz w:val="24"/>
          <w:szCs w:val="24"/>
          <w:shd w:val="clear" w:fill="ffffff"/>
        </w:rPr>
        <w:t>Субсидию на укрепление материально-технической базы организаций отдыха детей и их оздоровления получили в 2019 году МБУ ДО «ООСЦ «Олимп» в размере 103000 руб., в 2020 году МБУ ДО «ДЮСШ №1 «Юность» - 440000 руб., в</w:t>
      </w:r>
      <w:r>
        <w:rPr>
          <w:color w:val="000000"/>
          <w:sz w:val="24"/>
          <w:szCs w:val="24"/>
        </w:rPr>
        <w:t xml:space="preserve"> 2023 году МБУ ДО «ДЮСШ №1 «Юность» - 1145161,3 руб., в 2024 году МБУ ДО «ДЮСШ №1 «Юность» -  3815268,82 руб., 2025 году на устройство канализационных колодцев для уличных туалетов загородного лагеря «Белая Роща» МБУ ДО «ДЮСШ №1 «Юность» в сумме 1106979,57 руб.</w:t>
      </w:r>
    </w:p>
    <w:p>
      <w:pPr>
        <w:ind w:firstLine="709"/>
        <w:spacing/>
        <w:jc w:val="both"/>
        <w:widowControl/>
        <w:rPr>
          <w:color w:val="000000"/>
          <w:sz w:val="24"/>
          <w:szCs w:val="24"/>
        </w:rPr>
      </w:pPr>
      <w:r>
        <w:rPr>
          <w:color w:val="000000"/>
          <w:sz w:val="24"/>
          <w:szCs w:val="24"/>
        </w:rPr>
        <w:t>В 2025 году организован отдых детей и их оздоровление на территории Анжеро-Судженского городского округа:</w:t>
      </w:r>
    </w:p>
    <w:p>
      <w:pPr>
        <w:ind w:firstLine="709"/>
        <w:spacing/>
        <w:jc w:val="both"/>
        <w:widowControl/>
        <w:rPr>
          <w:color w:val="000000"/>
          <w:sz w:val="24"/>
          <w:szCs w:val="24"/>
        </w:rPr>
      </w:pPr>
      <w:r>
        <w:rPr>
          <w:color w:val="000000"/>
          <w:sz w:val="24"/>
          <w:szCs w:val="24"/>
        </w:rPr>
        <w:t>- стационарный загородный лагерь «Белая роща» МБУ ДО «ДЮСШ №1 «Юность»;</w:t>
      </w:r>
    </w:p>
    <w:p>
      <w:pPr>
        <w:ind w:firstLine="709"/>
        <w:spacing/>
        <w:jc w:val="both"/>
        <w:widowControl/>
        <w:rPr>
          <w:color w:val="000000"/>
          <w:sz w:val="24"/>
          <w:szCs w:val="24"/>
        </w:rPr>
      </w:pPr>
      <w:r>
        <w:rPr>
          <w:color w:val="000000"/>
          <w:sz w:val="24"/>
          <w:szCs w:val="24"/>
        </w:rPr>
        <w:t>- санаторий «Анжерский»;</w:t>
      </w:r>
    </w:p>
    <w:p>
      <w:pPr>
        <w:ind w:firstLine="709"/>
        <w:spacing/>
        <w:jc w:val="both"/>
        <w:widowControl/>
        <w:rPr>
          <w:color w:val="000000"/>
          <w:sz w:val="24"/>
          <w:szCs w:val="24"/>
        </w:rPr>
      </w:pPr>
      <w:r>
        <w:rPr>
          <w:color w:val="000000"/>
          <w:sz w:val="24"/>
          <w:szCs w:val="24"/>
        </w:rPr>
        <w:t>- загородный лагерь «Огонёк»;</w:t>
      </w:r>
    </w:p>
    <w:p>
      <w:pPr>
        <w:ind w:firstLine="709"/>
        <w:spacing/>
        <w:jc w:val="both"/>
        <w:widowControl/>
        <w:rPr>
          <w:color w:val="000000"/>
          <w:sz w:val="24"/>
          <w:szCs w:val="24"/>
        </w:rPr>
      </w:pPr>
      <w:r>
        <w:rPr>
          <w:color w:val="000000"/>
          <w:sz w:val="24"/>
          <w:szCs w:val="24"/>
        </w:rPr>
        <w:t>- «Лагерь №1» ИП Шинкарев С.А.;</w:t>
      </w:r>
    </w:p>
    <w:p>
      <w:pPr>
        <w:ind w:firstLine="709"/>
        <w:spacing/>
        <w:jc w:val="both"/>
        <w:widowControl/>
        <w:rPr>
          <w:color w:val="000000"/>
          <w:sz w:val="24"/>
          <w:szCs w:val="24"/>
        </w:rPr>
      </w:pPr>
      <w:r>
        <w:rPr>
          <w:color w:val="000000"/>
          <w:sz w:val="24"/>
          <w:szCs w:val="24"/>
        </w:rPr>
        <w:t>- оздоровительные лагеря с дневным пребыванием детей на базе образовательных организаций;</w:t>
      </w:r>
    </w:p>
    <w:p>
      <w:pPr>
        <w:ind w:firstLine="709"/>
        <w:spacing/>
        <w:jc w:val="both"/>
        <w:widowControl/>
        <w:rPr>
          <w:color w:val="000000"/>
          <w:sz w:val="24"/>
          <w:szCs w:val="24"/>
        </w:rPr>
      </w:pPr>
      <w:r>
        <w:rPr>
          <w:color w:val="000000"/>
          <w:sz w:val="24"/>
          <w:szCs w:val="24"/>
        </w:rPr>
        <w:t>- лагеря труда и отдыха для подростков на базе общеобразовательных организаций;</w:t>
      </w:r>
    </w:p>
    <w:p>
      <w:pPr>
        <w:ind w:firstLine="709"/>
        <w:spacing/>
        <w:jc w:val="both"/>
        <w:widowControl/>
        <w:rPr>
          <w:color w:val="000000"/>
          <w:sz w:val="24"/>
          <w:szCs w:val="24"/>
        </w:rPr>
      </w:pPr>
      <w:r>
        <w:rPr>
          <w:color w:val="000000"/>
          <w:sz w:val="24"/>
          <w:szCs w:val="24"/>
        </w:rPr>
        <w:t>- детский лагерь палаточного типа на базе стационарный загородный лагерь «Белая роща» МБУ ДО «ДЮСШ №1 «Юность».</w:t>
      </w:r>
    </w:p>
    <w:p>
      <w:pPr>
        <w:ind w:firstLine="709"/>
        <w:spacing/>
        <w:jc w:val="both"/>
        <w:widowControl/>
        <w:rPr>
          <w:color w:val="000000"/>
          <w:sz w:val="24"/>
          <w:szCs w:val="24"/>
        </w:rPr>
      </w:pPr>
      <w:r>
        <w:rPr>
          <w:color w:val="000000"/>
          <w:sz w:val="24"/>
          <w:szCs w:val="24"/>
        </w:rPr>
        <w:t>До 01.10.2025 охвачены организованными формами отдыха и оздоровления 7364 детей школьного возраста.</w:t>
      </w:r>
    </w:p>
    <w:p>
      <w:pPr>
        <w:spacing w:line="264" w:lineRule="auto"/>
        <w:jc w:val="both"/>
        <w:rPr>
          <w:b/>
          <w:color w:val="000000"/>
          <w:sz w:val="24"/>
          <w:szCs w:val="24"/>
        </w:rPr>
      </w:pPr>
      <w:r>
        <w:rPr>
          <w:b/>
          <w:color w:val="000000"/>
          <w:sz w:val="24"/>
          <w:szCs w:val="24"/>
        </w:rPr>
      </w:r>
    </w:p>
    <w:p>
      <w:pPr>
        <w:spacing/>
        <w:contextualSpacing/>
        <w:jc w:val="center"/>
        <w:widowControl/>
        <w:rPr>
          <w:b/>
          <w:color w:val="000000"/>
          <w:sz w:val="24"/>
          <w:szCs w:val="24"/>
        </w:rPr>
      </w:pPr>
      <w:r>
        <w:rPr>
          <w:b/>
          <w:color w:val="000000"/>
          <w:sz w:val="24"/>
          <w:szCs w:val="24"/>
        </w:rPr>
        <w:t>13. ЗДРАВООХРАНЕНИЕ</w:t>
      </w:r>
    </w:p>
    <w:p>
      <w:pPr>
        <w:ind w:firstLine="708"/>
        <w:spacing/>
        <w:jc w:val="both"/>
        <w:rPr>
          <w:color w:val="000000"/>
          <w:sz w:val="24"/>
          <w:szCs w:val="24"/>
        </w:rPr>
      </w:pPr>
      <w:r>
        <w:rPr>
          <w:color w:val="000000"/>
          <w:sz w:val="24"/>
          <w:szCs w:val="24"/>
        </w:rPr>
      </w:r>
    </w:p>
    <w:p>
      <w:pPr>
        <w:ind w:firstLine="708"/>
        <w:spacing/>
        <w:jc w:val="both"/>
        <w:rPr>
          <w:color w:val="000000"/>
          <w:sz w:val="24"/>
          <w:szCs w:val="24"/>
        </w:rPr>
      </w:pPr>
      <w:r>
        <w:rPr>
          <w:color w:val="000000"/>
          <w:sz w:val="24"/>
          <w:szCs w:val="24"/>
        </w:rPr>
        <w:t>За 2025 год в амбулаторно - поликлинических учреждениях города выполнены 462257 посещение, что составило 118% от годового плана муниципального задания  – 422328.</w:t>
      </w:r>
    </w:p>
    <w:p>
      <w:pPr>
        <w:ind w:firstLine="708"/>
        <w:spacing/>
        <w:jc w:val="both"/>
        <w:rPr>
          <w:color w:val="000000"/>
          <w:sz w:val="24"/>
          <w:szCs w:val="24"/>
        </w:rPr>
      </w:pPr>
      <w:r>
        <w:rPr>
          <w:color w:val="000000"/>
          <w:sz w:val="24"/>
          <w:szCs w:val="24"/>
        </w:rPr>
        <w:t xml:space="preserve">В стационарных отделениях ГАУЗ АСГБ за 2025 год  пролечено 9386 пациентов ( за   2024 год -  9699).  Выполнено  2917 оперативных вмешательств    (за   2024 год  - 3422), из них в хирургическом отделении 246 эндоскопических  операций (за  2024 год  - 280) .   </w:t>
      </w:r>
    </w:p>
    <w:p>
      <w:pPr>
        <w:ind w:firstLine="708"/>
        <w:spacing/>
        <w:jc w:val="both"/>
        <w:rPr>
          <w:color w:val="000000"/>
          <w:sz w:val="24"/>
          <w:szCs w:val="24"/>
        </w:rPr>
      </w:pPr>
      <w:r>
        <w:rPr>
          <w:color w:val="000000"/>
          <w:sz w:val="24"/>
          <w:szCs w:val="24"/>
        </w:rPr>
        <w:t xml:space="preserve">За 2025 год в первичном сосудистом отделении пролечен   671 пациент ( за  2024 год – 792 ).  </w:t>
      </w:r>
    </w:p>
    <w:p>
      <w:pPr>
        <w:ind w:firstLine="708"/>
        <w:spacing/>
        <w:jc w:val="both"/>
        <w:rPr>
          <w:color w:val="000000"/>
          <w:sz w:val="24"/>
          <w:szCs w:val="24"/>
        </w:rPr>
      </w:pPr>
      <w:r>
        <w:rPr>
          <w:color w:val="000000"/>
          <w:sz w:val="24"/>
          <w:szCs w:val="24"/>
        </w:rPr>
        <w:t>Количество проведенных исследований за  2025 год  составило:</w:t>
      </w:r>
    </w:p>
    <w:p>
      <w:pPr>
        <w:spacing/>
        <w:jc w:val="both"/>
        <w:rPr>
          <w:color w:val="000000"/>
          <w:sz w:val="24"/>
          <w:szCs w:val="24"/>
        </w:rPr>
      </w:pPr>
      <w:r>
        <w:rPr>
          <w:color w:val="000000"/>
          <w:sz w:val="24"/>
          <w:szCs w:val="24"/>
        </w:rPr>
        <w:t>- на компьютерном томографе - 9335 (за  2024 год - 8266),</w:t>
      </w:r>
    </w:p>
    <w:p>
      <w:pPr>
        <w:spacing/>
        <w:jc w:val="both"/>
        <w:rPr>
          <w:color w:val="000000"/>
          <w:sz w:val="24"/>
          <w:szCs w:val="24"/>
        </w:rPr>
      </w:pPr>
      <w:r>
        <w:rPr>
          <w:color w:val="000000"/>
          <w:sz w:val="24"/>
          <w:szCs w:val="24"/>
        </w:rPr>
        <w:t xml:space="preserve">- на передвижном и стационарном маммографах - 6237 (за 2024 год - 6739), </w:t>
      </w:r>
    </w:p>
    <w:p>
      <w:pPr>
        <w:spacing/>
        <w:jc w:val="both"/>
        <w:rPr>
          <w:color w:val="000000"/>
          <w:sz w:val="24"/>
          <w:szCs w:val="24"/>
        </w:rPr>
      </w:pPr>
      <w:r>
        <w:rPr>
          <w:color w:val="000000"/>
          <w:sz w:val="24"/>
          <w:szCs w:val="24"/>
        </w:rPr>
        <w:t>- флюорографические исследования - 31929 ( за 2024 год - 32583).</w:t>
      </w:r>
    </w:p>
    <w:p>
      <w:pPr>
        <w:ind w:firstLine="708"/>
        <w:spacing/>
        <w:jc w:val="both"/>
        <w:rPr>
          <w:color w:val="000000"/>
          <w:sz w:val="24"/>
          <w:szCs w:val="24"/>
        </w:rPr>
      </w:pPr>
      <w:r>
        <w:rPr>
          <w:color w:val="000000"/>
          <w:sz w:val="24"/>
          <w:szCs w:val="24"/>
        </w:rPr>
        <w:t xml:space="preserve">В ходе маммографических исследований  выявлено 2724 случая патологии (АППГ - 3186), с подозрением на злокачественные новообразования молочной железы - 778 случаев (АППГ - 1008). </w:t>
      </w:r>
    </w:p>
    <w:p>
      <w:pPr>
        <w:ind w:firstLine="708"/>
        <w:spacing/>
        <w:jc w:val="both"/>
        <w:rPr>
          <w:color w:val="000000"/>
          <w:sz w:val="24"/>
          <w:szCs w:val="24"/>
        </w:rPr>
      </w:pPr>
      <w:r>
        <w:rPr>
          <w:color w:val="000000"/>
          <w:sz w:val="24"/>
          <w:szCs w:val="24"/>
        </w:rPr>
        <w:t xml:space="preserve">По результатам флюорографических исследований выявлено впервые случаев  патологии - 893 (АППГ- 929), активного туберкулеза - 39 (АППГ- 14). </w:t>
      </w:r>
    </w:p>
    <w:p>
      <w:pPr>
        <w:ind w:firstLine="567"/>
        <w:spacing/>
        <w:jc w:val="both"/>
        <w:rPr>
          <w:color w:val="000000"/>
          <w:sz w:val="24"/>
          <w:szCs w:val="24"/>
        </w:rPr>
      </w:pPr>
      <w:r>
        <w:rPr>
          <w:color w:val="000000"/>
          <w:sz w:val="24"/>
          <w:szCs w:val="24"/>
        </w:rPr>
        <w:t>В центре амбулаторной онкологической помощи медицинскую помощь (курсы химиотерапии) получили  217 пациентов.</w:t>
      </w:r>
    </w:p>
    <w:p>
      <w:pPr>
        <w:ind w:firstLine="540"/>
        <w:spacing/>
        <w:jc w:val="both"/>
        <w:rPr>
          <w:color w:val="000000"/>
          <w:sz w:val="24"/>
          <w:szCs w:val="24"/>
        </w:rPr>
      </w:pPr>
      <w:r>
        <w:rPr>
          <w:color w:val="000000"/>
          <w:sz w:val="24"/>
          <w:szCs w:val="24"/>
        </w:rPr>
        <w:t xml:space="preserve">В рамках оказания высокотехнологичной помощи за счет средств федерального бюджета на лечение в другие города направлены 189 пациентов, из них в МО Кемеровской области-Кузбасса 92 пациента и  за пределы КО - 97. </w:t>
        <w:tab/>
        <w:t xml:space="preserve">За счет средств  ОМС на ВМП направлено  294 пациента. Кроме этого, 30 пациенткам выданы направления на проведение ЭКО, одной из них в МО г. Новосибирска. </w:t>
      </w:r>
    </w:p>
    <w:p>
      <w:pPr>
        <w:ind w:firstLine="540"/>
        <w:spacing/>
        <w:jc w:val="both"/>
        <w:rPr>
          <w:color w:val="000000"/>
          <w:sz w:val="24"/>
          <w:szCs w:val="24"/>
        </w:rPr>
      </w:pPr>
      <w:r>
        <w:rPr>
          <w:color w:val="000000"/>
          <w:sz w:val="24"/>
          <w:szCs w:val="24"/>
        </w:rPr>
        <w:t xml:space="preserve">Большое внимание в 025 году медицинскими работниками ГАУЗ АСГБ уделено проведению телемедицинских консультаций (ТМК) с узкими специалистами ГАУЗ АСГБ и областными специалистами. За отчетный </w:t>
      </w:r>
      <w:r>
        <w:rPr>
          <w:highlight w:val="white"/>
          <w:color w:val="000000"/>
          <w:sz w:val="24"/>
          <w:szCs w:val="24"/>
        </w:rPr>
        <w:t xml:space="preserve">период проведено 827 ТМК. Данное направление позволяет в короткие сроки </w:t>
      </w:r>
      <w:r>
        <w:rPr>
          <w:color w:val="000000"/>
          <w:sz w:val="24"/>
          <w:szCs w:val="24"/>
        </w:rPr>
        <w:t>обеспечить квалифицированную консультативно-диагностическую медицинскую помощь пациенту</w:t>
      </w:r>
      <w:r>
        <w:rPr>
          <w:highlight w:val="white"/>
          <w:color w:val="000000"/>
          <w:sz w:val="24"/>
          <w:szCs w:val="24"/>
        </w:rPr>
        <w:t>.</w:t>
      </w:r>
      <w:r>
        <w:rPr>
          <w:color w:val="000000"/>
          <w:sz w:val="24"/>
          <w:szCs w:val="24"/>
        </w:rPr>
      </w:r>
    </w:p>
    <w:p>
      <w:pPr>
        <w:ind w:firstLine="708"/>
        <w:spacing/>
        <w:contextualSpacing/>
        <w:jc w:val="both"/>
        <w:rPr>
          <w:color w:val="000000"/>
          <w:sz w:val="24"/>
          <w:szCs w:val="24"/>
        </w:rPr>
      </w:pPr>
      <w:r>
        <w:rPr>
          <w:color w:val="000000"/>
          <w:sz w:val="24"/>
          <w:szCs w:val="24"/>
        </w:rPr>
        <w:t>В течение 2025 года, согласно заявкам ГАУЗ АСГБ осуществлялись выезды   областных специалистов. Совместная работа с ГАУЗ «Кузбасская областная клиническая больница имени С.В. Беляева» и ГБУЗ «Кузбасский клинический кардиологический диспансер имени академика Л.С. Барбараша» помогает организовать прием наших жителей узкими специалистами областного уровня.</w:t>
      </w:r>
    </w:p>
    <w:p>
      <w:pPr>
        <w:ind w:firstLine="567"/>
        <w:spacing/>
        <w:contextualSpacing/>
        <w:jc w:val="both"/>
        <w:rPr>
          <w:color w:val="000000"/>
          <w:sz w:val="24"/>
          <w:szCs w:val="24"/>
        </w:rPr>
      </w:pPr>
      <w:r>
        <w:rPr>
          <w:color w:val="000000"/>
          <w:sz w:val="24"/>
          <w:szCs w:val="24"/>
        </w:rPr>
        <w:t>За отчетный период специалистами осуществлено 23 выезда.</w:t>
      </w:r>
    </w:p>
    <w:p>
      <w:pPr>
        <w:ind w:firstLine="540"/>
        <w:spacing/>
        <w:jc w:val="both"/>
        <w:rPr>
          <w:color w:val="000000"/>
          <w:sz w:val="24"/>
          <w:szCs w:val="24"/>
        </w:rPr>
      </w:pPr>
      <w:r>
        <w:rPr>
          <w:color w:val="000000"/>
          <w:sz w:val="24"/>
          <w:szCs w:val="24"/>
        </w:rPr>
        <w:t>Принято 1403 пациента, из них: 1093 взрослых и 310 детей.</w:t>
      </w:r>
    </w:p>
    <w:p>
      <w:pPr>
        <w:ind w:firstLine="540"/>
        <w:spacing/>
        <w:jc w:val="both"/>
        <w:rPr>
          <w:color w:val="000000"/>
          <w:sz w:val="24"/>
          <w:szCs w:val="24"/>
        </w:rPr>
      </w:pPr>
      <w:r>
        <w:rPr>
          <w:color w:val="000000"/>
          <w:sz w:val="24"/>
          <w:szCs w:val="24"/>
        </w:rPr>
        <w:t xml:space="preserve">По результатам приема специалистов на консультацию и дообследование в КОКБ и КККД направлено 114 пациентов, на госпитализацию  в стационарные отделения - 375.  </w:t>
      </w:r>
    </w:p>
    <w:p>
      <w:pPr>
        <w:ind w:firstLine="540"/>
        <w:spacing/>
        <w:jc w:val="both"/>
        <w:rPr>
          <w:color w:val="000000"/>
          <w:sz w:val="24"/>
          <w:szCs w:val="24"/>
        </w:rPr>
      </w:pPr>
      <w:r>
        <w:rPr>
          <w:color w:val="000000"/>
          <w:sz w:val="24"/>
          <w:szCs w:val="24"/>
        </w:rPr>
        <w:t>Особое внимание в  2025 году медицинские работники поликлиник уделили проведению профилактических мероприятий (повозрастная, углубленная диспансеризации и профилактические осмотры), с целью оценки общего состояния здоровья и выявления на раннем этапе возможных хронических заболеваний.</w:t>
      </w:r>
    </w:p>
    <w:p>
      <w:pPr>
        <w:ind w:firstLine="567"/>
        <w:spacing/>
        <w:jc w:val="both"/>
        <w:rPr>
          <w:highlight w:val="white"/>
          <w:color w:val="000000"/>
          <w:sz w:val="24"/>
          <w:szCs w:val="24"/>
        </w:rPr>
      </w:pPr>
      <w:r>
        <w:rPr>
          <w:highlight w:val="white"/>
          <w:color w:val="000000"/>
          <w:sz w:val="24"/>
          <w:szCs w:val="24"/>
        </w:rPr>
        <w:t>Достигнуты следующие плановые показатели 2025 года: осмотрено в рамках повозрастной диспансеризации 25946 человек,что составило 95,2 % от годового плана;  профилактические осмотры прошли 6017 человек</w:t>
      </w:r>
      <w:r>
        <w:rPr>
          <w:color w:val="000000"/>
          <w:sz w:val="24"/>
          <w:szCs w:val="24"/>
        </w:rPr>
        <w:t xml:space="preserve"> –</w:t>
      </w:r>
      <w:r>
        <w:rPr>
          <w:highlight w:val="white"/>
          <w:color w:val="000000"/>
          <w:sz w:val="24"/>
          <w:szCs w:val="24"/>
        </w:rPr>
        <w:t xml:space="preserve"> 117%; диспансеризацию для оценки репродуктивного здоровья 7892 человек – 94%.</w:t>
      </w:r>
      <w:r>
        <w:rPr>
          <w:highlight w:val="white"/>
          <w:color w:val="000000"/>
          <w:sz w:val="24"/>
          <w:szCs w:val="24"/>
        </w:rPr>
      </w:r>
    </w:p>
    <w:p>
      <w:pPr>
        <w:ind w:firstLine="567"/>
        <w:spacing/>
        <w:jc w:val="both"/>
        <w:rPr>
          <w:color w:val="000000"/>
          <w:sz w:val="24"/>
          <w:szCs w:val="24"/>
        </w:rPr>
      </w:pPr>
      <w:r>
        <w:rPr>
          <w:color w:val="000000"/>
          <w:sz w:val="24"/>
          <w:szCs w:val="24"/>
        </w:rPr>
        <w:t>На основании нормативных документов МЗ РФ с 10.09.2025 года в ГАУЗ АСГБ организовано проведение расширенной диспансеризации ветеранов СВО. Расширенная  диспансеризация ветеранов СВО проводится  каждую среду на базе стоматологической поликлиники  с 11:30 до 13:00, затем организован прием узкими специалистами в поликлинике № 3 с 13:00 до 15:00. Прием ведут: невролог, хирург, травматолог, офтальмолог, кардиолог, оториноларинголог, медицинский психолог,  дерматовенеролог.</w:t>
      </w:r>
    </w:p>
    <w:p>
      <w:pPr>
        <w:ind w:firstLine="567"/>
        <w:spacing/>
        <w:jc w:val="both"/>
        <w:rPr>
          <w:color w:val="000000"/>
          <w:sz w:val="24"/>
          <w:szCs w:val="24"/>
        </w:rPr>
      </w:pPr>
      <w:r>
        <w:rPr>
          <w:color w:val="000000"/>
          <w:sz w:val="24"/>
          <w:szCs w:val="24"/>
        </w:rPr>
        <w:t>Ветераны СВО приглашаются на диспансеризацию заведующими поликлиниками, согласно спискам. За отчётный  2025 год диспансеризация проведена  25 ветеранам, из них 1 - из пгт. Ижморский, 3 - жителя пгт.Яя и 21 - жители г. Анжеро-Судженска.</w:t>
      </w:r>
    </w:p>
    <w:p>
      <w:pPr>
        <w:ind w:firstLine="567"/>
        <w:spacing/>
        <w:jc w:val="both"/>
        <w:rPr>
          <w:color w:val="000000"/>
          <w:sz w:val="24"/>
          <w:szCs w:val="24"/>
        </w:rPr>
      </w:pPr>
      <w:r>
        <w:rPr>
          <w:color w:val="000000"/>
          <w:sz w:val="24"/>
          <w:szCs w:val="24"/>
        </w:rPr>
        <w:t xml:space="preserve">Таким образом, в 2025 году городская больница в полном объёме оказывала плановую медицинскую помощь населению и большое внимание уделяла проведению профилактических мероприятий. </w:t>
      </w:r>
    </w:p>
    <w:p>
      <w:pPr>
        <w:spacing/>
        <w:jc w:val="center"/>
        <w:rPr>
          <w:color w:val="000000"/>
          <w:sz w:val="24"/>
          <w:szCs w:val="24"/>
        </w:rPr>
      </w:pPr>
      <w:r>
        <w:rPr>
          <w:color w:val="000000"/>
          <w:sz w:val="24"/>
          <w:szCs w:val="24"/>
        </w:rPr>
      </w:r>
    </w:p>
    <w:p>
      <w:pPr>
        <w:ind w:firstLine="720"/>
        <w:spacing/>
        <w:contextualSpacing/>
        <w:jc w:val="center"/>
        <w:widowControl/>
        <w:rPr>
          <w:b/>
          <w:bCs/>
          <w:color w:val="000000"/>
          <w:sz w:val="24"/>
          <w:szCs w:val="24"/>
          <w:u w:color="auto" w:val="single"/>
        </w:rPr>
      </w:pPr>
      <w:r>
        <w:rPr>
          <w:b/>
          <w:bCs/>
          <w:color w:val="000000"/>
          <w:sz w:val="24"/>
          <w:szCs w:val="24"/>
          <w:u w:color="auto" w:val="single"/>
        </w:rPr>
        <w:t xml:space="preserve">Реализация региональных проектов и поступление нового оборудования </w:t>
      </w:r>
    </w:p>
    <w:p>
      <w:pPr>
        <w:ind w:firstLine="720"/>
        <w:spacing/>
        <w:contextualSpacing/>
        <w:jc w:val="center"/>
        <w:widowControl/>
        <w:rPr>
          <w:b/>
          <w:bCs/>
          <w:color w:val="000000"/>
          <w:sz w:val="24"/>
          <w:szCs w:val="24"/>
          <w:u w:color="auto" w:val="single"/>
        </w:rPr>
      </w:pPr>
      <w:r>
        <w:rPr>
          <w:b/>
          <w:bCs/>
          <w:color w:val="000000"/>
          <w:sz w:val="24"/>
          <w:szCs w:val="24"/>
          <w:u w:color="auto" w:val="single"/>
        </w:rPr>
        <w:t>в 2025 году</w:t>
      </w:r>
    </w:p>
    <w:p>
      <w:pPr>
        <w:ind w:firstLine="540"/>
        <w:spacing/>
        <w:jc w:val="both"/>
        <w:rPr>
          <w:color w:val="000000"/>
          <w:sz w:val="24"/>
          <w:szCs w:val="24"/>
        </w:rPr>
      </w:pPr>
      <w:r>
        <w:rPr>
          <w:color w:val="000000"/>
          <w:sz w:val="24"/>
          <w:szCs w:val="24"/>
        </w:rPr>
        <w:t xml:space="preserve">В рамках программы </w:t>
      </w:r>
      <w:r>
        <w:rPr>
          <w:b/>
          <w:bCs/>
          <w:i/>
          <w:iCs/>
          <w:color w:val="000000"/>
          <w:sz w:val="24"/>
          <w:szCs w:val="24"/>
        </w:rPr>
        <w:t xml:space="preserve">«Модернизация первичного звена здравоохранения Кемеровской области-Кузбасса на 2021-2025г.» </w:t>
      </w:r>
      <w:r>
        <w:rPr>
          <w:color w:val="000000"/>
          <w:sz w:val="24"/>
          <w:szCs w:val="24"/>
        </w:rPr>
        <w:t>в течение 2022 – 2024 г.г. подрядная организация проводила капитальный ремонт поликлиники №2 по адресу пер. Профессиональный, 12. Выполнены следующие виды работ: ремонт кровли и фасада ; благоустройство прилегающей территории; замена окон; монтаж системы отопления, водоснабжения и канализации; ремонт помещений и кабинетов. В декабре 2024 года капитальный ремонт поликлиники завершен.  Торжественное открытие поликлиники № 2 после проведения капитального ремонта проведено 13.02.2025 года. Поликлиника возобновила работу в полном объеме с 17 февраля 2025 года.</w:t>
      </w:r>
    </w:p>
    <w:p>
      <w:pPr>
        <w:ind w:firstLine="709"/>
        <w:spacing/>
        <w:jc w:val="both"/>
        <w:rPr>
          <w:color w:val="000000"/>
          <w:sz w:val="24"/>
          <w:szCs w:val="24"/>
        </w:rPr>
      </w:pPr>
      <w:r>
        <w:rPr>
          <w:color w:val="000000"/>
          <w:sz w:val="24"/>
          <w:szCs w:val="24"/>
        </w:rPr>
        <w:t xml:space="preserve">В рамках национального проекта </w:t>
      </w:r>
      <w:r>
        <w:rPr>
          <w:b/>
          <w:bCs/>
          <w:color w:val="000000"/>
          <w:sz w:val="24"/>
          <w:szCs w:val="24"/>
        </w:rPr>
        <w:t>«Продолжительная и активная жизнь»</w:t>
      </w:r>
      <w:r>
        <w:rPr>
          <w:color w:val="000000"/>
          <w:sz w:val="24"/>
          <w:szCs w:val="24"/>
        </w:rPr>
        <w:t xml:space="preserve"> регионального проекта</w:t>
      </w:r>
      <w:r>
        <w:rPr>
          <w:b/>
          <w:bCs/>
          <w:color w:val="000000"/>
          <w:sz w:val="24"/>
          <w:szCs w:val="24"/>
        </w:rPr>
        <w:t xml:space="preserve"> «Модернизация первичного звена здравоохранения»</w:t>
      </w:r>
      <w:r>
        <w:rPr>
          <w:color w:val="000000"/>
          <w:sz w:val="24"/>
          <w:szCs w:val="24"/>
        </w:rPr>
        <w:t xml:space="preserve"> в 2025 году проводится капитальный ремонт поликлиники № 4 по адресу ул. К.Маркса,16 и поликлиники №5 по адресу ул. 50-летия Октября, 4. 03.02.2025 подрядная организация приступила к проведению капитального ремонта поликлиники № 4. 31.07.2025 года капитальный ремонт помещений поликлиники завершен. Выполнены работы по ремонту помещений 1 этажа поликлиники: заливка и стяжка пола, ремонт стен и потолков, замена оконных блоков, замена отопления и сантехники во  всей поликлинике.</w:t>
      </w:r>
      <w:r>
        <w:rPr>
          <w:color w:val="000000"/>
          <w:sz w:val="24"/>
          <w:szCs w:val="24"/>
        </w:rPr>
      </w:r>
    </w:p>
    <w:p>
      <w:pPr>
        <w:ind w:firstLine="709"/>
        <w:spacing/>
        <w:jc w:val="both"/>
        <w:rPr>
          <w:color w:val="000000"/>
          <w:sz w:val="24"/>
          <w:szCs w:val="24"/>
        </w:rPr>
      </w:pPr>
      <w:r>
        <w:rPr>
          <w:color w:val="000000"/>
          <w:sz w:val="24"/>
          <w:szCs w:val="24"/>
        </w:rPr>
        <w:t>16.04.2025 начался капитальный ремонт поликлиники № 5 по адресу ул. 50-летия Октября, 4. Выполнены следующие виды работ: отделка внутренних помещений, капитальный ремонт системы отопления, заменены окна, установлены новые двери и дверные откосы. 11.11.2025 завершен капитальный ремонт поликлиники № 5.</w:t>
      </w:r>
    </w:p>
    <w:p>
      <w:pPr>
        <w:ind w:firstLine="720"/>
        <w:spacing/>
        <w:jc w:val="both"/>
        <w:rPr>
          <w:color w:val="000000"/>
          <w:sz w:val="24"/>
          <w:szCs w:val="24"/>
        </w:rPr>
      </w:pPr>
      <w:r>
        <w:rPr>
          <w:color w:val="000000"/>
          <w:sz w:val="24"/>
          <w:szCs w:val="24"/>
        </w:rPr>
        <w:t xml:space="preserve">В 2025 году в рамках государственной программы Кемеровской области - Кузбасса  </w:t>
      </w:r>
      <w:r>
        <w:rPr>
          <w:b/>
          <w:bCs/>
          <w:color w:val="000000"/>
          <w:sz w:val="24"/>
          <w:szCs w:val="24"/>
        </w:rPr>
        <w:t>«Развитие здравоохранения Кузбасса»</w:t>
      </w:r>
      <w:r>
        <w:rPr>
          <w:color w:val="000000"/>
          <w:sz w:val="24"/>
          <w:szCs w:val="24"/>
        </w:rPr>
        <w:t xml:space="preserve"> и </w:t>
      </w:r>
      <w:r>
        <w:rPr>
          <w:b/>
          <w:bCs/>
          <w:color w:val="000000"/>
          <w:sz w:val="24"/>
          <w:szCs w:val="24"/>
        </w:rPr>
        <w:t>«Мероприятий по развитию системы паллиативной медицинской помощи»</w:t>
      </w:r>
      <w:r>
        <w:rPr>
          <w:color w:val="000000"/>
          <w:sz w:val="24"/>
          <w:szCs w:val="24"/>
        </w:rPr>
        <w:t xml:space="preserve"> в отделение сестринского ухода ГАУЗ АСГБ поступило новое медицинское оборудование на общую сумму 272947 рублей:</w:t>
      </w:r>
      <w:r>
        <w:rPr>
          <w:color w:val="000000"/>
          <w:sz w:val="24"/>
          <w:szCs w:val="24"/>
        </w:rPr>
      </w:r>
    </w:p>
    <w:p>
      <w:pPr>
        <w:ind w:firstLine="720"/>
        <w:spacing/>
        <w:jc w:val="both"/>
        <w:rPr>
          <w:color w:val="000000"/>
          <w:sz w:val="24"/>
          <w:szCs w:val="24"/>
        </w:rPr>
      </w:pPr>
      <w:r>
        <w:rPr>
          <w:b/>
          <w:color w:val="000000"/>
          <w:sz w:val="24"/>
          <w:szCs w:val="24"/>
        </w:rPr>
        <w:t xml:space="preserve"> </w:t>
      </w:r>
      <w:r>
        <w:rPr>
          <w:color w:val="000000"/>
          <w:sz w:val="24"/>
          <w:szCs w:val="24"/>
        </w:rPr>
        <w:t xml:space="preserve">- помпа для энтерального питания Nutricare -300V; </w:t>
      </w:r>
    </w:p>
    <w:p>
      <w:pPr>
        <w:ind w:firstLine="720"/>
        <w:spacing/>
        <w:jc w:val="both"/>
        <w:rPr>
          <w:color w:val="000000"/>
          <w:sz w:val="24"/>
          <w:szCs w:val="24"/>
        </w:rPr>
      </w:pPr>
      <w:r>
        <w:rPr>
          <w:color w:val="000000"/>
          <w:sz w:val="24"/>
          <w:szCs w:val="24"/>
        </w:rPr>
        <w:t xml:space="preserve"> - 5 кроватей металлических общебольничных ;</w:t>
      </w:r>
    </w:p>
    <w:p>
      <w:pPr>
        <w:ind w:firstLine="720"/>
        <w:spacing/>
        <w:jc w:val="both"/>
        <w:rPr>
          <w:color w:val="000000"/>
          <w:sz w:val="24"/>
          <w:szCs w:val="24"/>
        </w:rPr>
      </w:pPr>
      <w:r>
        <w:rPr>
          <w:color w:val="000000"/>
          <w:sz w:val="24"/>
          <w:szCs w:val="24"/>
        </w:rPr>
        <w:t xml:space="preserve"> - дозатор шприцевый портативный лекарственных средств с принадлежностями;</w:t>
      </w:r>
    </w:p>
    <w:p>
      <w:pPr>
        <w:ind w:firstLine="720"/>
        <w:spacing/>
        <w:jc w:val="both"/>
        <w:rPr>
          <w:color w:val="000000"/>
          <w:sz w:val="24"/>
          <w:szCs w:val="24"/>
        </w:rPr>
      </w:pPr>
      <w:r>
        <w:rPr>
          <w:color w:val="000000"/>
          <w:sz w:val="24"/>
          <w:szCs w:val="24"/>
        </w:rPr>
        <w:t xml:space="preserve"> - шкаф медицинский и 5 тумб медицинских.</w:t>
      </w:r>
    </w:p>
    <w:p>
      <w:pPr>
        <w:ind w:firstLine="720"/>
        <w:spacing/>
        <w:jc w:val="both"/>
        <w:rPr>
          <w:color w:val="000000"/>
          <w:sz w:val="24"/>
          <w:szCs w:val="24"/>
        </w:rPr>
      </w:pPr>
      <w:r>
        <w:rPr>
          <w:color w:val="000000"/>
          <w:sz w:val="24"/>
          <w:szCs w:val="24"/>
        </w:rPr>
        <w:t xml:space="preserve">В рамках реализации государственной программы  Кемеровской области-Кузбасса </w:t>
      </w:r>
      <w:r>
        <w:rPr>
          <w:b/>
          <w:bCs/>
          <w:color w:val="000000"/>
          <w:sz w:val="24"/>
          <w:szCs w:val="24"/>
        </w:rPr>
        <w:t>«Развитие здравоохранения Кузбасса»</w:t>
      </w:r>
      <w:r>
        <w:rPr>
          <w:color w:val="000000"/>
          <w:sz w:val="24"/>
          <w:szCs w:val="24"/>
        </w:rPr>
        <w:t xml:space="preserve"> и регионального проекта </w:t>
      </w:r>
      <w:r>
        <w:rPr>
          <w:b/>
          <w:bCs/>
          <w:color w:val="000000"/>
          <w:sz w:val="24"/>
          <w:szCs w:val="24"/>
        </w:rPr>
        <w:t xml:space="preserve">«Модернизация первичного звена здравоохранения» </w:t>
      </w:r>
      <w:r>
        <w:rPr>
          <w:color w:val="000000"/>
          <w:sz w:val="24"/>
          <w:szCs w:val="24"/>
        </w:rPr>
        <w:t>19.12.2025 года в ГАУЗ АСГБ поступил аппарат - Система магнитно-резонансной томографии MAGNETOM Sempra с принадлежностями стоимостью 112 000 000 рублей.</w:t>
      </w:r>
      <w:r>
        <w:rPr>
          <w:color w:val="000000"/>
          <w:sz w:val="24"/>
          <w:szCs w:val="24"/>
        </w:rPr>
      </w:r>
    </w:p>
    <w:p>
      <w:pPr>
        <w:ind w:firstLine="709"/>
        <w:spacing/>
        <w:jc w:val="both"/>
        <w:rPr>
          <w:color w:val="000000"/>
          <w:sz w:val="24"/>
          <w:szCs w:val="24"/>
        </w:rPr>
      </w:pPr>
      <w:r>
        <w:rPr>
          <w:color w:val="000000"/>
          <w:sz w:val="24"/>
          <w:szCs w:val="24"/>
        </w:rPr>
        <w:t>В течение 2025 года проводили капитальный ремонт помещений корпуса №2 под установку аппарата МРТ. 01.12.2025 завершен  капитальный ремонт. В настоящее время проводится процедура получения санитарно-эпидемиологического заключения на МРТ.</w:t>
      </w:r>
    </w:p>
    <w:p>
      <w:pPr>
        <w:spacing/>
        <w:jc w:val="both"/>
        <w:rPr>
          <w:color w:val="000000"/>
          <w:sz w:val="28"/>
        </w:rPr>
      </w:pPr>
      <w:r>
        <w:rPr>
          <w:color w:val="000000"/>
          <w:sz w:val="28"/>
        </w:rPr>
      </w:r>
    </w:p>
    <w:p>
      <w:pPr>
        <w:spacing/>
        <w:contextualSpacing/>
        <w:jc w:val="center"/>
        <w:widowControl/>
        <w:rPr>
          <w:b/>
          <w:bCs/>
          <w:color w:val="000000"/>
          <w:sz w:val="24"/>
          <w:szCs w:val="24"/>
        </w:rPr>
      </w:pPr>
      <w:r>
        <w:rPr>
          <w:b/>
          <w:bCs/>
          <w:color w:val="000000"/>
          <w:sz w:val="24"/>
          <w:szCs w:val="24"/>
        </w:rPr>
        <w:t>14. СОЦИАЛЬНАЯ ЗАЩИТА НАСЕЛЕНИЯ</w:t>
      </w:r>
    </w:p>
    <w:p>
      <w:pPr>
        <w:ind w:firstLine="708"/>
        <w:spacing/>
        <w:contextualSpacing/>
        <w:jc w:val="both"/>
        <w:widowControl/>
        <w:rPr>
          <w:b/>
          <w:bCs/>
          <w:color w:val="000000"/>
          <w:sz w:val="24"/>
          <w:szCs w:val="24"/>
        </w:rPr>
      </w:pPr>
      <w:r>
        <w:rPr>
          <w:b/>
          <w:bCs/>
          <w:color w:val="000000"/>
          <w:sz w:val="24"/>
          <w:szCs w:val="24"/>
        </w:rPr>
        <w:tab/>
      </w:r>
    </w:p>
    <w:p>
      <w:pPr>
        <w:ind w:firstLine="709"/>
        <w:spacing/>
        <w:jc w:val="both"/>
        <w:rPr>
          <w:color w:val="000000"/>
          <w:kern w:val="1"/>
          <w:sz w:val="24"/>
          <w:szCs w:val="24"/>
          <w:lang w:eastAsia="ru-ru"/>
        </w:rPr>
      </w:pPr>
      <w:r>
        <w:rPr>
          <w:color w:val="000000"/>
          <w:kern w:val="1"/>
          <w:sz w:val="24"/>
          <w:szCs w:val="24"/>
          <w:lang w:eastAsia="ru-ru"/>
        </w:rPr>
        <w:tab/>
        <w:t xml:space="preserve">На учете в управлении социальной защиты населения состоит  </w:t>
      </w:r>
      <w:r>
        <w:rPr>
          <w:b/>
          <w:color w:val="000000"/>
          <w:kern w:val="1"/>
          <w:sz w:val="24"/>
          <w:szCs w:val="24"/>
          <w:lang w:eastAsia="ru-ru"/>
        </w:rPr>
        <w:t xml:space="preserve">1063 </w:t>
      </w:r>
      <w:r>
        <w:rPr>
          <w:color w:val="000000"/>
          <w:kern w:val="1"/>
          <w:sz w:val="24"/>
          <w:szCs w:val="24"/>
          <w:lang w:eastAsia="ru-ru"/>
        </w:rPr>
        <w:t xml:space="preserve">многодетных семей, воспитывающих 3 и более несовершеннолетних детей (3335 детей); </w:t>
      </w:r>
      <w:r>
        <w:rPr>
          <w:b/>
          <w:color w:val="000000"/>
          <w:kern w:val="1"/>
          <w:sz w:val="24"/>
          <w:szCs w:val="24"/>
          <w:lang w:eastAsia="ru-ru"/>
        </w:rPr>
        <w:t xml:space="preserve">347 </w:t>
      </w:r>
      <w:r>
        <w:rPr>
          <w:color w:val="000000"/>
          <w:kern w:val="1"/>
          <w:sz w:val="24"/>
          <w:szCs w:val="24"/>
          <w:lang w:eastAsia="ru-ru"/>
        </w:rPr>
        <w:t>семей воспитывающих детей-инвалидов в возрасте до 18 лет (372 детей);</w:t>
      </w:r>
      <w:r>
        <w:rPr>
          <w:b/>
          <w:color w:val="000000"/>
          <w:kern w:val="1"/>
          <w:sz w:val="24"/>
          <w:szCs w:val="24"/>
          <w:lang w:eastAsia="ru-ru"/>
        </w:rPr>
        <w:t xml:space="preserve"> 15</w:t>
      </w:r>
      <w:r>
        <w:rPr>
          <w:b/>
          <w:bCs/>
          <w:color w:val="000000"/>
          <w:kern w:val="1"/>
          <w:sz w:val="24"/>
          <w:szCs w:val="24"/>
          <w:lang w:eastAsia="ru-ru"/>
        </w:rPr>
        <w:t>555</w:t>
      </w:r>
      <w:r>
        <w:rPr>
          <w:color w:val="000000"/>
          <w:kern w:val="1"/>
          <w:sz w:val="24"/>
          <w:szCs w:val="24"/>
          <w:lang w:eastAsia="ru-ru"/>
        </w:rPr>
        <w:t xml:space="preserve"> человек относящие к льготной категории граждан (ветеран труда, реабилитированный, инвалид 1-3 гр., участники ВОВ, вдовы участников ВОВ, труженики тыла и др.).</w:t>
      </w:r>
      <w:r>
        <w:rPr>
          <w:color w:val="000000"/>
          <w:kern w:val="1"/>
          <w:sz w:val="24"/>
          <w:szCs w:val="24"/>
          <w:lang w:eastAsia="ru-ru"/>
        </w:rPr>
      </w:r>
    </w:p>
    <w:p>
      <w:pPr>
        <w:ind w:firstLine="709"/>
        <w:spacing/>
        <w:jc w:val="both"/>
        <w:rPr>
          <w:color w:val="000000"/>
          <w:kern w:val="1"/>
          <w:sz w:val="24"/>
          <w:szCs w:val="24"/>
          <w:lang w:eastAsia="ru-ru"/>
        </w:rPr>
      </w:pPr>
      <w:r>
        <w:rPr>
          <w:color w:val="000000"/>
          <w:kern w:val="1"/>
          <w:sz w:val="24"/>
          <w:szCs w:val="24"/>
          <w:lang w:eastAsia="ru-ru"/>
        </w:rPr>
        <w:t xml:space="preserve">За отчётный период управлением выплачено </w:t>
      </w:r>
      <w:r>
        <w:rPr>
          <w:b/>
          <w:bCs/>
          <w:color w:val="000000"/>
          <w:kern w:val="1"/>
          <w:sz w:val="24"/>
          <w:szCs w:val="24"/>
          <w:lang w:eastAsia="ru-ru"/>
        </w:rPr>
        <w:t>271 197,1 тыс. руб.</w:t>
      </w:r>
      <w:r>
        <w:rPr>
          <w:color w:val="000000"/>
          <w:kern w:val="1"/>
          <w:sz w:val="24"/>
          <w:szCs w:val="24"/>
          <w:lang w:eastAsia="ru-ru"/>
        </w:rPr>
      </w:r>
    </w:p>
    <w:p>
      <w:pPr>
        <w:pStyle w:val="para121"/>
        <w:ind w:firstLine="709"/>
        <w:spacing/>
        <w:jc w:val="both"/>
        <w:rPr>
          <w:rFonts w:ascii="Times New Roman" w:hAnsi="Times New Roman" w:eastAsia="Times New Roman" w:cs="Times New Roman"/>
          <w:iCs/>
          <w:color w:val="000000"/>
          <w:sz w:val="24"/>
        </w:rPr>
      </w:pPr>
      <w:r>
        <w:rPr>
          <w:rFonts w:ascii="Times New Roman" w:hAnsi="Times New Roman" w:eastAsia="Times New Roman" w:cs="Times New Roman"/>
          <w:color w:val="000000"/>
          <w:sz w:val="24"/>
        </w:rPr>
        <w:t xml:space="preserve">За отчётный период осуществлена выплата </w:t>
      </w:r>
      <w:r>
        <w:rPr>
          <w:rFonts w:ascii="Times New Roman" w:hAnsi="Times New Roman" w:eastAsia="Times New Roman" w:cs="Times New Roman"/>
          <w:b/>
          <w:bCs/>
          <w:iCs/>
          <w:color w:val="000000"/>
          <w:sz w:val="24"/>
        </w:rPr>
        <w:t xml:space="preserve">11 920 </w:t>
      </w:r>
      <w:r>
        <w:rPr>
          <w:rFonts w:ascii="Times New Roman" w:hAnsi="Times New Roman" w:eastAsia="Times New Roman" w:cs="Times New Roman"/>
          <w:iCs/>
          <w:color w:val="000000"/>
          <w:sz w:val="24"/>
        </w:rPr>
        <w:t xml:space="preserve">гражданам, имеющим право на компенсацию за ЖКУ на сумму </w:t>
      </w:r>
      <w:r>
        <w:rPr>
          <w:rFonts w:ascii="Times New Roman" w:hAnsi="Times New Roman" w:eastAsia="Times New Roman" w:cs="Times New Roman"/>
          <w:b/>
          <w:bCs/>
          <w:iCs/>
          <w:color w:val="000000"/>
          <w:sz w:val="24"/>
        </w:rPr>
        <w:t>1</w:t>
      </w:r>
      <w:r>
        <w:rPr>
          <w:rFonts w:ascii="Times New Roman" w:hAnsi="Times New Roman" w:eastAsia="Times New Roman" w:cs="Times New Roman"/>
          <w:b/>
          <w:iCs/>
          <w:color w:val="000000"/>
          <w:sz w:val="24"/>
        </w:rPr>
        <w:t xml:space="preserve">83 362,29 тыс. руб. </w:t>
      </w:r>
      <w:r>
        <w:rPr>
          <w:rFonts w:ascii="Times New Roman" w:hAnsi="Times New Roman" w:eastAsia="Times New Roman" w:cs="Times New Roman"/>
          <w:iCs/>
          <w:color w:val="000000"/>
          <w:sz w:val="24"/>
        </w:rPr>
        <w:t>Субсидии на оплату жилого помещения и коммунальных услуг за отчетный период  предоставлено</w:t>
      </w:r>
      <w:r>
        <w:rPr>
          <w:rFonts w:ascii="Times New Roman" w:hAnsi="Times New Roman" w:eastAsia="Times New Roman" w:cs="Times New Roman"/>
          <w:b/>
          <w:iCs/>
          <w:color w:val="000000"/>
          <w:sz w:val="24"/>
        </w:rPr>
        <w:t xml:space="preserve"> 2205 </w:t>
      </w:r>
      <w:r>
        <w:rPr>
          <w:rFonts w:ascii="Times New Roman" w:hAnsi="Times New Roman" w:eastAsia="Times New Roman" w:cs="Times New Roman"/>
          <w:iCs/>
          <w:color w:val="000000"/>
          <w:sz w:val="24"/>
        </w:rPr>
        <w:t>семьям на сумму</w:t>
      </w:r>
      <w:r>
        <w:rPr>
          <w:rFonts w:ascii="Times New Roman" w:hAnsi="Times New Roman" w:eastAsia="Times New Roman" w:cs="Times New Roman"/>
          <w:b/>
          <w:iCs/>
          <w:color w:val="000000"/>
          <w:sz w:val="24"/>
        </w:rPr>
        <w:t xml:space="preserve"> –  83489,3 тыс. руб. </w:t>
      </w:r>
      <w:r>
        <w:rPr>
          <w:rFonts w:ascii="Times New Roman" w:hAnsi="Times New Roman" w:eastAsia="Times New Roman" w:cs="Times New Roman"/>
          <w:iCs/>
          <w:color w:val="000000"/>
          <w:sz w:val="24"/>
        </w:rPr>
        <w:t>Государственной социальной</w:t>
      </w:r>
      <w:r>
        <w:rPr>
          <w:rFonts w:ascii="Times New Roman" w:hAnsi="Times New Roman" w:eastAsia="Times New Roman" w:cs="Times New Roman"/>
          <w:b/>
          <w:iCs/>
          <w:color w:val="000000"/>
          <w:sz w:val="24"/>
        </w:rPr>
        <w:t xml:space="preserve"> </w:t>
      </w:r>
      <w:r>
        <w:rPr>
          <w:rFonts w:ascii="Times New Roman" w:hAnsi="Times New Roman" w:eastAsia="Times New Roman" w:cs="Times New Roman"/>
          <w:iCs/>
          <w:color w:val="000000"/>
          <w:sz w:val="24"/>
        </w:rPr>
        <w:t>помощи в виде социального контракта за отчетный период оказано</w:t>
      </w:r>
      <w:r>
        <w:rPr>
          <w:rFonts w:ascii="Times New Roman" w:hAnsi="Times New Roman" w:eastAsia="Times New Roman" w:cs="Times New Roman"/>
          <w:b/>
          <w:bCs/>
          <w:iCs/>
          <w:color w:val="000000"/>
          <w:sz w:val="24"/>
        </w:rPr>
        <w:t xml:space="preserve"> 1</w:t>
      </w:r>
      <w:r>
        <w:rPr>
          <w:rFonts w:ascii="Times New Roman" w:hAnsi="Times New Roman" w:eastAsia="Times New Roman" w:cs="Times New Roman"/>
          <w:b/>
          <w:bCs/>
          <w:iCs/>
          <w:color w:val="000000"/>
          <w:sz w:val="24"/>
        </w:rPr>
        <w:t>80</w:t>
      </w:r>
      <w:r>
        <w:rPr>
          <w:rFonts w:ascii="Times New Roman" w:hAnsi="Times New Roman" w:eastAsia="Times New Roman" w:cs="Times New Roman"/>
          <w:b/>
          <w:iCs/>
          <w:color w:val="000000"/>
          <w:sz w:val="24"/>
        </w:rPr>
        <w:t xml:space="preserve"> </w:t>
      </w:r>
      <w:r>
        <w:rPr>
          <w:rFonts w:ascii="Times New Roman" w:hAnsi="Times New Roman" w:eastAsia="Times New Roman" w:cs="Times New Roman"/>
          <w:iCs/>
          <w:color w:val="000000"/>
          <w:sz w:val="24"/>
        </w:rPr>
        <w:t xml:space="preserve">получателям на сумму </w:t>
      </w:r>
      <w:r>
        <w:rPr>
          <w:rFonts w:ascii="Times New Roman" w:hAnsi="Times New Roman" w:eastAsia="Times New Roman" w:cs="Times New Roman"/>
          <w:b/>
          <w:bCs/>
          <w:iCs/>
          <w:color w:val="000000"/>
          <w:sz w:val="24"/>
        </w:rPr>
        <w:t>25 174,71 тыс.руб</w:t>
      </w:r>
      <w:r>
        <w:rPr>
          <w:rFonts w:ascii="Times New Roman" w:hAnsi="Times New Roman" w:eastAsia="Times New Roman" w:cs="Times New Roman"/>
          <w:b/>
          <w:iCs/>
          <w:color w:val="000000"/>
          <w:sz w:val="24"/>
        </w:rPr>
        <w:t>.</w:t>
      </w:r>
      <w:r>
        <w:rPr>
          <w:rFonts w:ascii="Times New Roman" w:hAnsi="Times New Roman" w:eastAsia="Times New Roman" w:cs="Times New Roman"/>
          <w:b/>
          <w:iCs/>
          <w:color w:val="000000"/>
          <w:sz w:val="24"/>
        </w:rPr>
        <w:t xml:space="preserve"> </w:t>
      </w:r>
      <w:r>
        <w:rPr>
          <w:rFonts w:ascii="Times New Roman" w:hAnsi="Times New Roman" w:eastAsia="Times New Roman" w:cs="Times New Roman"/>
          <w:iCs/>
          <w:color w:val="000000"/>
          <w:sz w:val="24"/>
        </w:rPr>
        <w:t>В рамках</w:t>
      </w:r>
      <w:r>
        <w:rPr>
          <w:rFonts w:ascii="Times New Roman" w:hAnsi="Times New Roman" w:eastAsia="Times New Roman" w:cs="Times New Roman"/>
          <w:b/>
          <w:iCs/>
          <w:color w:val="000000"/>
          <w:sz w:val="24"/>
        </w:rPr>
        <w:t xml:space="preserve"> </w:t>
      </w:r>
      <w:r>
        <w:rPr>
          <w:rFonts w:ascii="Times New Roman" w:hAnsi="Times New Roman" w:eastAsia="Times New Roman" w:cs="Times New Roman"/>
          <w:iCs/>
          <w:color w:val="000000"/>
          <w:sz w:val="24"/>
        </w:rPr>
        <w:t xml:space="preserve">реализации национального проекта </w:t>
      </w:r>
      <w:r>
        <w:rPr>
          <w:rFonts w:ascii="Times New Roman" w:hAnsi="Times New Roman" w:eastAsia="Times New Roman" w:cs="Times New Roman"/>
          <w:b/>
          <w:bCs/>
          <w:i/>
          <w:iCs/>
          <w:color w:val="000000"/>
          <w:sz w:val="24"/>
        </w:rPr>
        <w:t>«Семья»</w:t>
      </w:r>
      <w:r>
        <w:rPr>
          <w:rFonts w:ascii="Times New Roman" w:hAnsi="Times New Roman" w:eastAsia="Times New Roman" w:cs="Times New Roman"/>
          <w:iCs/>
          <w:color w:val="000000"/>
          <w:sz w:val="24"/>
        </w:rPr>
        <w:t xml:space="preserve"> в части региональных проектов </w:t>
      </w:r>
      <w:r>
        <w:rPr>
          <w:rFonts w:ascii="Times New Roman" w:hAnsi="Times New Roman" w:eastAsia="Times New Roman" w:cs="Times New Roman"/>
          <w:b/>
          <w:bCs/>
          <w:i/>
          <w:iCs/>
          <w:color w:val="000000"/>
          <w:sz w:val="24"/>
        </w:rPr>
        <w:t>«Поддержка семей»</w:t>
      </w:r>
      <w:r>
        <w:rPr>
          <w:rFonts w:ascii="Times New Roman" w:hAnsi="Times New Roman" w:eastAsia="Times New Roman" w:cs="Times New Roman"/>
          <w:iCs/>
          <w:color w:val="000000"/>
          <w:sz w:val="24"/>
        </w:rPr>
        <w:t xml:space="preserve">, </w:t>
      </w:r>
      <w:r>
        <w:rPr>
          <w:rFonts w:ascii="Times New Roman" w:hAnsi="Times New Roman" w:eastAsia="Times New Roman" w:cs="Times New Roman"/>
          <w:b/>
          <w:bCs/>
          <w:i/>
          <w:iCs/>
          <w:color w:val="000000"/>
          <w:sz w:val="24"/>
        </w:rPr>
        <w:t>«Многодетные семьи»</w:t>
      </w:r>
      <w:r>
        <w:rPr>
          <w:rFonts w:ascii="Times New Roman" w:hAnsi="Times New Roman" w:eastAsia="Times New Roman" w:cs="Times New Roman"/>
          <w:iCs/>
          <w:color w:val="000000"/>
          <w:sz w:val="24"/>
        </w:rPr>
        <w:t xml:space="preserve"> за отчетный период осуществлена выплата по мерам социальной поддержки семей с детьми в сумме  </w:t>
      </w:r>
      <w:r>
        <w:rPr>
          <w:rFonts w:ascii="Times New Roman" w:hAnsi="Times New Roman" w:eastAsia="Times New Roman" w:cs="Times New Roman"/>
          <w:b/>
          <w:bCs/>
          <w:iCs/>
          <w:color w:val="000000"/>
          <w:sz w:val="24"/>
        </w:rPr>
        <w:t xml:space="preserve">26 812,29 </w:t>
      </w:r>
      <w:r>
        <w:rPr>
          <w:rFonts w:ascii="Times New Roman" w:hAnsi="Times New Roman" w:eastAsia="Times New Roman" w:cs="Times New Roman"/>
          <w:b/>
          <w:iCs/>
          <w:color w:val="000000"/>
          <w:sz w:val="24"/>
        </w:rPr>
        <w:t>тыс. руб.</w:t>
      </w:r>
      <w:r>
        <w:rPr>
          <w:rFonts w:ascii="Times New Roman" w:hAnsi="Times New Roman" w:eastAsia="Times New Roman" w:cs="Times New Roman"/>
          <w:iCs/>
          <w:color w:val="000000"/>
          <w:sz w:val="24"/>
        </w:rPr>
        <w:t xml:space="preserve"> из них выплачено средств областного материнского капитала на сумму </w:t>
      </w:r>
      <w:r>
        <w:rPr>
          <w:rFonts w:ascii="Times New Roman" w:hAnsi="Times New Roman" w:eastAsia="Times New Roman" w:cs="Times New Roman"/>
          <w:b/>
          <w:bCs/>
          <w:iCs/>
          <w:color w:val="000000"/>
          <w:sz w:val="24"/>
        </w:rPr>
        <w:t xml:space="preserve"> </w:t>
      </w:r>
      <w:r>
        <w:rPr>
          <w:rFonts w:ascii="Times New Roman" w:hAnsi="Times New Roman" w:eastAsia="Times New Roman" w:cs="Times New Roman"/>
          <w:b/>
          <w:iCs/>
          <w:color w:val="000000"/>
          <w:sz w:val="24"/>
        </w:rPr>
        <w:t>2130,6 тыс. руб</w:t>
      </w:r>
      <w:r>
        <w:rPr>
          <w:rFonts w:ascii="Times New Roman" w:hAnsi="Times New Roman" w:eastAsia="Times New Roman" w:cs="Times New Roman"/>
          <w:iCs/>
          <w:color w:val="000000"/>
          <w:sz w:val="24"/>
        </w:rPr>
        <w:t>.</w:t>
      </w:r>
      <w:r>
        <w:rPr>
          <w:rFonts w:ascii="Times New Roman" w:hAnsi="Times New Roman" w:eastAsia="Times New Roman" w:cs="Times New Roman"/>
          <w:iCs/>
          <w:color w:val="000000"/>
          <w:sz w:val="24"/>
        </w:rPr>
      </w:r>
    </w:p>
    <w:p>
      <w:pPr>
        <w:pStyle w:val="para93"/>
        <w:ind w:firstLine="708"/>
        <w: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 состоянию на отчётный период на учёте в управлении состоит 123 совершеннолетних недееспособных граждан, над которыми установлена опека и 126 опекунов. Социальное пособие на погребение выплачено на </w:t>
      </w:r>
      <w:r>
        <w:rPr>
          <w:rFonts w:ascii="Times New Roman" w:hAnsi="Times New Roman" w:cs="Times New Roman"/>
          <w:b/>
          <w:bCs/>
          <w:color w:val="000000"/>
          <w:sz w:val="24"/>
          <w:szCs w:val="24"/>
        </w:rPr>
        <w:t>113</w:t>
      </w:r>
      <w:r>
        <w:rPr>
          <w:rFonts w:ascii="Times New Roman" w:hAnsi="Times New Roman" w:cs="Times New Roman"/>
          <w:color w:val="000000"/>
          <w:sz w:val="24"/>
          <w:szCs w:val="24"/>
        </w:rPr>
        <w:t xml:space="preserve"> человек в сумме </w:t>
      </w:r>
      <w:r>
        <w:rPr>
          <w:rFonts w:ascii="Times New Roman" w:hAnsi="Times New Roman" w:cs="Times New Roman"/>
          <w:b/>
          <w:bCs/>
          <w:color w:val="000000"/>
          <w:sz w:val="24"/>
          <w:szCs w:val="24"/>
        </w:rPr>
        <w:t>1 327,8</w:t>
      </w:r>
      <w:r>
        <w:rPr>
          <w:rFonts w:ascii="Times New Roman" w:hAnsi="Times New Roman" w:cs="Times New Roman"/>
          <w:color w:val="000000"/>
          <w:sz w:val="24"/>
          <w:szCs w:val="24"/>
        </w:rPr>
        <w:t xml:space="preserve"> тыс. руб.</w:t>
      </w:r>
      <w:r>
        <w:rPr>
          <w:rFonts w:ascii="Times New Roman" w:hAnsi="Times New Roman" w:cs="Times New Roman"/>
          <w:color w:val="000000"/>
          <w:sz w:val="24"/>
          <w:szCs w:val="24"/>
        </w:rPr>
      </w:r>
    </w:p>
    <w:p>
      <w:pPr>
        <w:pStyle w:val="para93"/>
        <w:ind w:firstLine="708"/>
        <w:spacing/>
        <w:jc w:val="both"/>
        <w:rPr>
          <w:rFonts w:ascii="Times New Roman" w:hAnsi="Times New Roman" w:cs="Times New Roman"/>
          <w:iCs/>
          <w:color w:val="000000"/>
          <w:sz w:val="24"/>
          <w:szCs w:val="24"/>
        </w:rPr>
      </w:pPr>
      <w:r>
        <w:rPr>
          <w:rFonts w:ascii="Times New Roman" w:hAnsi="Times New Roman" w:cs="Times New Roman"/>
          <w:color w:val="000000"/>
          <w:sz w:val="24"/>
          <w:szCs w:val="24"/>
        </w:rPr>
        <w:t xml:space="preserve">Произведены выплаты пенсии за выслугу лет лицам, замещавшим муниципальные должности и должности муниципальной службы на сумму </w:t>
      </w:r>
      <w:r>
        <w:rPr>
          <w:rFonts w:ascii="Times New Roman" w:hAnsi="Times New Roman" w:cs="Times New Roman"/>
          <w:b/>
          <w:bCs/>
          <w:iCs/>
          <w:color w:val="000000"/>
          <w:sz w:val="24"/>
          <w:szCs w:val="24"/>
        </w:rPr>
        <w:t>19 229,5 тыс. руб.</w:t>
      </w:r>
      <w:r>
        <w:rPr>
          <w:rFonts w:ascii="Times New Roman" w:hAnsi="Times New Roman" w:cs="Times New Roman"/>
          <w:iCs/>
          <w:color w:val="000000"/>
          <w:sz w:val="24"/>
          <w:szCs w:val="24"/>
        </w:rPr>
        <w:t xml:space="preserve"> (по состоянию на 01.01.2026г. – </w:t>
      </w:r>
      <w:r>
        <w:rPr>
          <w:rFonts w:ascii="Times New Roman" w:hAnsi="Times New Roman" w:cs="Times New Roman"/>
          <w:b/>
          <w:iCs/>
          <w:color w:val="000000"/>
          <w:sz w:val="24"/>
          <w:szCs w:val="24"/>
        </w:rPr>
        <w:t xml:space="preserve">76 </w:t>
      </w:r>
      <w:r>
        <w:rPr>
          <w:rFonts w:ascii="Times New Roman" w:hAnsi="Times New Roman" w:cs="Times New Roman"/>
          <w:iCs/>
          <w:color w:val="000000"/>
          <w:sz w:val="24"/>
          <w:szCs w:val="24"/>
        </w:rPr>
        <w:t>получателя).</w:t>
      </w:r>
      <w:r>
        <w:rPr>
          <w:rFonts w:ascii="Times New Roman" w:hAnsi="Times New Roman" w:cs="Times New Roman"/>
          <w:iCs/>
          <w:color w:val="000000"/>
          <w:sz w:val="24"/>
          <w:szCs w:val="24"/>
        </w:rPr>
      </w:r>
    </w:p>
    <w:p>
      <w:pPr>
        <w:pStyle w:val="para127"/>
        <w:ind w:firstLine="708"/>
        <w:spacing/>
        <w:jc w:val="both"/>
        <w:rPr>
          <w:iCs/>
          <w:color w:val="000000"/>
          <w:sz w:val="24"/>
          <w:szCs w:val="24"/>
        </w:rPr>
      </w:pPr>
      <w:r>
        <w:rPr>
          <w:b w:val="0"/>
          <w:color w:val="000000"/>
          <w:sz w:val="24"/>
          <w:szCs w:val="24"/>
        </w:rPr>
        <w:t xml:space="preserve">Адресную помощь из средств городской программы «Социальная поддержка населения Анжеро-Судженского городского округа» на 2022-2026гг.» подпрограммы «Милосердие» получили </w:t>
      </w:r>
      <w:r>
        <w:rPr>
          <w:iCs/>
          <w:color w:val="000000"/>
          <w:sz w:val="24"/>
          <w:szCs w:val="24"/>
        </w:rPr>
        <w:t>3395 человек</w:t>
      </w:r>
      <w:r>
        <w:rPr>
          <w:b w:val="0"/>
          <w:iCs/>
          <w:color w:val="000000"/>
          <w:sz w:val="24"/>
          <w:szCs w:val="24"/>
        </w:rPr>
        <w:t xml:space="preserve"> на сумму </w:t>
      </w:r>
      <w:r>
        <w:rPr>
          <w:iCs/>
          <w:color w:val="000000"/>
          <w:sz w:val="24"/>
          <w:szCs w:val="24"/>
        </w:rPr>
        <w:t>1</w:t>
      </w:r>
      <w:r>
        <w:rPr>
          <w:iCs/>
          <w:color w:val="000000"/>
          <w:sz w:val="24"/>
          <w:szCs w:val="24"/>
        </w:rPr>
        <w:t>0 476,8</w:t>
      </w:r>
      <w:r>
        <w:rPr>
          <w:b w:val="0"/>
          <w:bCs w:val="0"/>
          <w:iCs/>
          <w:color w:val="000000"/>
          <w:sz w:val="24"/>
          <w:szCs w:val="24"/>
        </w:rPr>
        <w:t xml:space="preserve"> </w:t>
      </w:r>
      <w:r>
        <w:rPr>
          <w:iCs/>
          <w:color w:val="000000"/>
          <w:sz w:val="24"/>
          <w:szCs w:val="24"/>
        </w:rPr>
        <w:t xml:space="preserve">тыс. руб. </w:t>
      </w:r>
      <w:r>
        <w:rPr>
          <w:iCs/>
          <w:color w:val="000000"/>
          <w:sz w:val="24"/>
          <w:szCs w:val="24"/>
        </w:rPr>
      </w:r>
    </w:p>
    <w:p>
      <w:pPr>
        <w:pStyle w:val="para127"/>
        <w:ind w:firstLine="708"/>
        <w:spacing/>
        <w:jc w:val="both"/>
        <w:rPr>
          <w:iCs/>
          <w:color w:val="000000"/>
          <w:sz w:val="24"/>
          <w:szCs w:val="24"/>
        </w:rPr>
      </w:pPr>
      <w:r>
        <w:rPr>
          <w:b w:val="0"/>
          <w:color w:val="000000"/>
          <w:sz w:val="24"/>
          <w:szCs w:val="24"/>
        </w:rPr>
        <w:t xml:space="preserve">Общественными организациями города в рамках заключенных соглашений, из средств местного бюджета, получили целевые субсидии в отчетном периоде на сумму </w:t>
      </w:r>
      <w:r>
        <w:rPr>
          <w:iCs/>
          <w:color w:val="000000"/>
          <w:sz w:val="24"/>
          <w:szCs w:val="24"/>
        </w:rPr>
        <w:t>2050,6</w:t>
      </w:r>
      <w:r>
        <w:rPr>
          <w:iCs/>
          <w:color w:val="000000"/>
          <w:sz w:val="24"/>
          <w:szCs w:val="24"/>
        </w:rPr>
        <w:t xml:space="preserve"> тыс. руб.</w:t>
      </w:r>
      <w:r>
        <w:rPr>
          <w:iCs/>
          <w:color w:val="000000"/>
          <w:sz w:val="24"/>
          <w:szCs w:val="24"/>
        </w:rPr>
      </w:r>
    </w:p>
    <w:p>
      <w:pPr>
        <w:pStyle w:val="para127"/>
        <w:ind w:firstLine="708"/>
        <w:spacing w:after="240"/>
        <w:jc w:val="both"/>
        <w:rPr>
          <w:b w:val="0"/>
          <w:iCs/>
          <w:color w:val="000000"/>
          <w:sz w:val="24"/>
          <w:szCs w:val="24"/>
        </w:rPr>
      </w:pPr>
      <w:r>
        <w:rPr>
          <w:b w:val="0"/>
          <w:color w:val="000000"/>
          <w:sz w:val="24"/>
          <w:szCs w:val="24"/>
        </w:rPr>
        <w:t xml:space="preserve">По вопросу оформления в дома-интернаты за отчетный период на </w:t>
      </w:r>
      <w:r>
        <w:rPr>
          <w:iCs/>
          <w:color w:val="000000"/>
          <w:sz w:val="24"/>
          <w:szCs w:val="24"/>
        </w:rPr>
        <w:t>53 чел.</w:t>
      </w:r>
      <w:r>
        <w:rPr>
          <w:b w:val="0"/>
          <w:iCs/>
          <w:color w:val="000000"/>
          <w:sz w:val="24"/>
          <w:szCs w:val="24"/>
        </w:rPr>
        <w:t xml:space="preserve"> из Министерства социальной защиты населения Кузбасса получены путевки для определения их в дома-интернаты.</w:t>
      </w:r>
      <w:r>
        <w:rPr>
          <w:b w:val="0"/>
          <w:iCs/>
          <w:color w:val="000000"/>
          <w:sz w:val="24"/>
          <w:szCs w:val="24"/>
        </w:rPr>
      </w:r>
    </w:p>
    <w:p>
      <w:pPr>
        <w:ind w:firstLine="708"/>
        <w:spacing/>
        <w:jc w:val="both"/>
        <w:rPr>
          <w:color w:val="000000"/>
          <w:sz w:val="24"/>
          <w:szCs w:val="24"/>
        </w:rPr>
      </w:pPr>
      <w:r>
        <w:rPr>
          <w:b/>
          <w:bCs/>
          <w:color w:val="000000"/>
          <w:sz w:val="24"/>
          <w:szCs w:val="24"/>
          <w:u w:color="auto" w:val="single"/>
        </w:rPr>
        <w:t>В МКУ АСГО «Социально-реабилитационный Центр для несовершеннолетних»</w:t>
      </w:r>
      <w:r>
        <w:rPr>
          <w:color w:val="000000"/>
          <w:sz w:val="24"/>
          <w:szCs w:val="24"/>
        </w:rPr>
        <w:t xml:space="preserve"> За отчётный период в стационарное отделение Центра поступило 121 несовершеннолетний, возвращено в родные семьи - 84 несовершеннолетних, переданы под опеку - 12, направлены на государственные учреждения для детей-сирот - 9 несовершеннолетних, другие формы устройства - 5 несовершеннолетних.</w:t>
      </w:r>
    </w:p>
    <w:p>
      <w:pPr>
        <w:ind w:firstLine="708"/>
        <w:spacing/>
        <w:jc w:val="both"/>
        <w:rPr>
          <w:color w:val="000000"/>
          <w:kern w:val="1"/>
          <w:sz w:val="24"/>
          <w:szCs w:val="24"/>
          <w:lang w:eastAsia="ru-ru"/>
        </w:rPr>
      </w:pPr>
      <w:r>
        <w:rPr>
          <w:color w:val="000000"/>
          <w:sz w:val="24"/>
          <w:szCs w:val="24"/>
        </w:rPr>
        <w:t xml:space="preserve">На базе </w:t>
      </w:r>
      <w:r>
        <w:rPr>
          <w:b/>
          <w:color w:val="000000"/>
          <w:sz w:val="24"/>
          <w:szCs w:val="24"/>
        </w:rPr>
        <w:t>приёмного отделения</w:t>
      </w:r>
      <w:r>
        <w:rPr>
          <w:color w:val="000000"/>
          <w:sz w:val="24"/>
          <w:szCs w:val="24"/>
        </w:rPr>
        <w:t xml:space="preserve"> продолжается работа специалистов по программе  </w:t>
      </w:r>
      <w:r>
        <w:rPr>
          <w:i/>
          <w:color w:val="000000"/>
          <w:sz w:val="24"/>
          <w:szCs w:val="24"/>
        </w:rPr>
        <w:t>«Социальный лифт»</w:t>
      </w:r>
      <w:r>
        <w:rPr>
          <w:color w:val="000000"/>
          <w:sz w:val="24"/>
          <w:szCs w:val="24"/>
        </w:rPr>
        <w:t xml:space="preserve"> по работе с многодетными семьями, находящимися в трудной жизненной ситуации. За отчетный период в рамках данного проекта 12 родителей прошли бесплатное противоалкогольное </w:t>
      </w:r>
      <w:r>
        <w:rPr>
          <w:color w:val="000000"/>
          <w:sz w:val="24"/>
          <w:szCs w:val="24"/>
          <w:lang w:eastAsia="ru-ru"/>
        </w:rPr>
        <w:t>лечение на базе ГАУЗ «Анжеро-Судженская городская больница (психоневрологический диспансер)», 6 родителей прошли бесплатное кодирование от алкогольной зависимости</w:t>
      </w:r>
      <w:r>
        <w:rPr>
          <w:color w:val="000000"/>
          <w:sz w:val="24"/>
          <w:szCs w:val="24"/>
        </w:rPr>
        <w:t xml:space="preserve">. Продолжает свою работу служба </w:t>
      </w:r>
      <w:r>
        <w:rPr>
          <w:i/>
          <w:color w:val="000000"/>
          <w:sz w:val="24"/>
          <w:szCs w:val="24"/>
        </w:rPr>
        <w:t>«Семейная диспетчерская»,</w:t>
      </w:r>
      <w:r>
        <w:rPr>
          <w:color w:val="000000"/>
          <w:sz w:val="24"/>
          <w:szCs w:val="24"/>
        </w:rPr>
        <w:t xml:space="preserve"> за отчётный период проведено 18 выездов: </w:t>
      </w:r>
      <w:r>
        <w:rPr>
          <w:color w:val="000000"/>
          <w:kern w:val="1"/>
          <w:sz w:val="24"/>
          <w:szCs w:val="24"/>
          <w:lang w:eastAsia="ru-ru"/>
        </w:rPr>
        <w:t xml:space="preserve">по технологии «Очно-заочный передвижной  консультативный пункт» - 10 выездов, 38 семей получили консультативную помощь; по технологии «Ведение случая» - 8 выезда, посетили 31 семья. Так же проведены 4 онлайн – консультации, в которых приняли участие 42 </w:t>
      </w:r>
      <w:r>
        <w:rPr>
          <w:color w:val="000000"/>
          <w:kern w:val="1"/>
          <w:sz w:val="24"/>
          <w:szCs w:val="24"/>
          <w:lang w:eastAsia="ru-ru"/>
        </w:rPr>
        <w:t xml:space="preserve">родителей. С апреля 2025 года в учреждении осуществляет свою работу Служба «Дети в семье», целью которой является повышение устойчивости семей в преодолении трудной жизненной ситуации. За отчетный период проведено 9 выездов, получили помощь 46 семей. </w:t>
      </w:r>
      <w:r>
        <w:rPr>
          <w:color w:val="000000"/>
          <w:kern w:val="1"/>
          <w:sz w:val="24"/>
          <w:szCs w:val="24"/>
          <w:lang w:eastAsia="ru-ru"/>
        </w:rPr>
      </w:r>
    </w:p>
    <w:p>
      <w:pPr>
        <w:ind w:firstLine="708"/>
        <w:spacing/>
        <w:jc w:val="both"/>
        <w:rPr>
          <w:color w:val="000000"/>
          <w:sz w:val="24"/>
          <w:szCs w:val="24"/>
          <w:lang w:eastAsia="ru-ru"/>
        </w:rPr>
      </w:pPr>
      <w:r>
        <w:rPr>
          <w:color w:val="000000"/>
          <w:sz w:val="24"/>
          <w:szCs w:val="24"/>
        </w:rPr>
        <w:t xml:space="preserve">В </w:t>
      </w:r>
      <w:r>
        <w:rPr>
          <w:b/>
          <w:color w:val="000000"/>
          <w:sz w:val="24"/>
          <w:szCs w:val="24"/>
        </w:rPr>
        <w:t>отделении социальной диагностики и реабилитации</w:t>
      </w:r>
      <w:r>
        <w:rPr>
          <w:color w:val="000000"/>
          <w:sz w:val="24"/>
          <w:szCs w:val="24"/>
        </w:rPr>
        <w:t xml:space="preserve"> в феврале 2025 года учреждение приняло участие в разработке грантового проекта совместно с Автономной некоммерческой организацией «Центр поддержки несовершеннолетних, оказавшихся в трудной жизненной ситуации «Планета Детства». Подано </w:t>
      </w:r>
      <w:r>
        <w:rPr>
          <w:color w:val="000000"/>
          <w:sz w:val="24"/>
          <w:szCs w:val="24"/>
          <w:lang w:eastAsia="ru-ru"/>
        </w:rPr>
        <w:t>две заявки на участие на второй конкурс 2025 года Фонда президентских грантов. В марте 2025 года подана заявка на участие во Всероссийском конкурсе профессионального мастерства в сфере социального обслуживания, ежегодно проводимый Минтрудом России среди сотрудников организаций социального обслуживания, входящих в реестр поставщиков социальных услуг, в специальной номинации «Открытие года». По результатам рассмотрения конкурсных материалов, регионального этапа, психолог в социальной сфере Узикова К.В. заняла второе место.</w:t>
      </w:r>
      <w:r>
        <w:rPr>
          <w:color w:val="000000"/>
          <w:sz w:val="24"/>
          <w:szCs w:val="24"/>
          <w:lang w:eastAsia="ru-ru"/>
        </w:rPr>
      </w:r>
    </w:p>
    <w:p>
      <w:pPr>
        <w:pStyle w:val="para121"/>
        <w:ind w:firstLine="708"/>
        <w:spacing/>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Продолжалась работа центра социально-трудовой адаптации при учреждении, на базе которого занимаются изготовлением интерьерной Куклы Тильда, вязанием мягкой игрушки в технике амигуруми, осуществляется деятельность по мыловарению. Всего изготовлено более 35 изделий. Новым направлением в работе стало изготовление предметов интерьера из ротанга (изготовлено 8 изделий), выполнение поделок из синельной проволоки (изготовлено более 25 поделок).</w:t>
      </w:r>
    </w:p>
    <w:p>
      <w:pPr>
        <w:ind w:firstLine="708"/>
        <w:spacing/>
        <w:jc w:val="both"/>
        <w:rPr>
          <w:color w:val="000000"/>
          <w:sz w:val="24"/>
          <w:szCs w:val="24"/>
        </w:rPr>
      </w:pPr>
      <w:r>
        <w:rPr>
          <w:color w:val="000000"/>
          <w:sz w:val="24"/>
          <w:szCs w:val="24"/>
        </w:rPr>
        <w:t>В</w:t>
      </w:r>
      <w:r>
        <w:rPr>
          <w:b/>
          <w:color w:val="000000"/>
          <w:sz w:val="24"/>
          <w:szCs w:val="24"/>
        </w:rPr>
        <w:t xml:space="preserve"> отделении дневного пребывания </w:t>
      </w:r>
      <w:r>
        <w:rPr>
          <w:color w:val="000000"/>
          <w:sz w:val="24"/>
          <w:szCs w:val="24"/>
        </w:rPr>
        <w:t>прошли курс реабилитации 107 несовершеннолетних. Группу посещали дети из 67 семей, находящихся в трудной жизненной ситуации; неполных семей – 25; многодетных семей – 29; малообеспеченных семей – 13.</w:t>
      </w:r>
    </w:p>
    <w:p>
      <w:pPr>
        <w:pStyle w:val="para121"/>
        <w:ind w:left="-141" w:firstLine="708"/>
        <w:spacing/>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С 1 сентября в отделение дневного пребывания набрана новая группа детей на новый сезон, и в настоящее время проходят курс реабилитации 20 детей.</w:t>
      </w:r>
    </w:p>
    <w:p>
      <w:pPr>
        <w:pStyle w:val="para97"/>
        <w:ind w:firstLine="708"/>
        <w:spacing w:before="0" w:after="0"/>
        <w:jc w:val="both"/>
        <w:rPr>
          <w:rFonts w:eastAsia="Times New Roman"/>
          <w:color w:val="000000"/>
        </w:rPr>
      </w:pPr>
      <w:r>
        <w:rPr>
          <w:rFonts w:eastAsia="Times New Roman"/>
          <w:color w:val="000000"/>
        </w:rPr>
        <w:t xml:space="preserve">Проведено 131 консультаций с родителями: консультации по вопросу постановки на учет в ЦЗН с целью трудоустройства,  консультации по вопросу оформления мер социальной поддержки. </w:t>
      </w:r>
    </w:p>
    <w:p>
      <w:pPr>
        <w:ind w:firstLine="708"/>
        <w:spacing/>
        <w:contextualSpacing/>
        <w:jc w:val="both"/>
        <w:rPr>
          <w:iCs/>
          <w:color w:val="000000"/>
          <w:kern w:val="1"/>
          <w:sz w:val="24"/>
          <w:szCs w:val="24"/>
          <w:lang w:eastAsia="ru-ru"/>
        </w:rPr>
      </w:pPr>
      <w:r>
        <w:rPr>
          <w:b/>
          <w:bCs/>
          <w:color w:val="000000"/>
          <w:sz w:val="24"/>
          <w:szCs w:val="24"/>
          <w:u w:color="auto" w:val="single"/>
        </w:rPr>
        <w:t>В МКУ АСГО «Реабилитационный центр для детей и подростков с ограниченными возможностями»</w:t>
      </w:r>
      <w:r>
        <w:rPr>
          <w:iCs/>
          <w:color w:val="000000"/>
          <w:kern w:val="1"/>
          <w:sz w:val="24"/>
          <w:szCs w:val="24"/>
          <w:lang w:eastAsia="ru-ru"/>
        </w:rPr>
        <w:t xml:space="preserve"> состоит на учёте 379 ребенка-инвалида из 347 семей.  За отчетный период курс реабилитации прошли 379 ребенка. </w:t>
      </w:r>
      <w:r>
        <w:rPr>
          <w:iCs/>
          <w:color w:val="000000"/>
          <w:kern w:val="1"/>
          <w:sz w:val="24"/>
          <w:szCs w:val="24"/>
          <w:lang w:eastAsia="ru-ru"/>
        </w:rPr>
      </w:r>
    </w:p>
    <w:p>
      <w:pPr>
        <w:ind w:firstLine="720"/>
        <w:spacing/>
        <w:contextualSpacing/>
        <w:jc w:val="both"/>
        <w:rPr>
          <w:color w:val="000000"/>
          <w:kern w:val="1"/>
          <w:sz w:val="24"/>
          <w:szCs w:val="24"/>
          <w:lang w:eastAsia="ru-ru"/>
        </w:rPr>
      </w:pPr>
      <w:r>
        <w:rPr>
          <w:color w:val="000000"/>
          <w:kern w:val="1"/>
          <w:sz w:val="24"/>
          <w:szCs w:val="24"/>
          <w:lang w:eastAsia="ru-ru"/>
        </w:rPr>
        <w:t>За 2025 года специалистами отделения проведен 367 социальных патронажей в семьи с детьми-инвалидами.</w:t>
      </w:r>
    </w:p>
    <w:p>
      <w:pPr>
        <w:ind w:firstLine="737"/>
        <w:spacing/>
        <w:contextualSpacing/>
        <w:jc w:val="both"/>
        <w:rPr>
          <w:iCs/>
          <w:color w:val="000000"/>
          <w:kern w:val="1"/>
          <w:sz w:val="24"/>
          <w:szCs w:val="24"/>
          <w:lang w:eastAsia="ru-ru"/>
        </w:rPr>
      </w:pPr>
      <w:r>
        <w:rPr>
          <w:b/>
          <w:bCs/>
          <w:color w:val="000000"/>
          <w:sz w:val="24"/>
          <w:szCs w:val="24"/>
          <w:u w:color="auto" w:val="single"/>
        </w:rPr>
        <w:t>В МБУ АСГО «Комплексный Центр социального обслуживания населения»</w:t>
      </w:r>
      <w:r>
        <w:rPr>
          <w:b/>
          <w:bCs/>
          <w:color w:val="000000"/>
          <w:sz w:val="24"/>
          <w:szCs w:val="24"/>
        </w:rPr>
        <w:t xml:space="preserve"> </w:t>
      </w:r>
      <w:r>
        <w:rPr>
          <w:iCs/>
          <w:color w:val="000000"/>
          <w:kern w:val="1"/>
          <w:sz w:val="24"/>
          <w:szCs w:val="24"/>
          <w:lang w:eastAsia="ru-ru"/>
        </w:rPr>
        <w:t>по состоянию на 01.01.2026г. социальные услуги на дому получают 1782 чел., из них 1410 чел. проживают в благоустроенном жилье и 372 чел. в неблагоустроенном. На базе отделения дневного пребывания социальные услуги получили 101 чел.</w:t>
      </w:r>
      <w:r>
        <w:rPr>
          <w:iCs/>
          <w:color w:val="000000"/>
          <w:kern w:val="1"/>
          <w:sz w:val="24"/>
          <w:szCs w:val="24"/>
          <w:lang w:eastAsia="ru-ru"/>
        </w:rPr>
      </w:r>
    </w:p>
    <w:p>
      <w:pPr>
        <w:pStyle w:val="para92"/>
        <w:ind w:firstLine="539"/>
        <w:spacing/>
        <w:jc w:val="both"/>
        <w:rPr>
          <w:rFonts w:ascii="Times New Roman" w:hAnsi="Times New Roman" w:cs="Times New Roman"/>
          <w:color w:val="000000"/>
          <w:sz w:val="24"/>
        </w:rPr>
      </w:pPr>
      <w:r>
        <w:rPr>
          <w:rFonts w:ascii="Times New Roman" w:hAnsi="Times New Roman" w:cs="Times New Roman"/>
          <w:color w:val="000000"/>
          <w:sz w:val="24"/>
        </w:rPr>
        <w:t>МБУ «Анжеро-Судженский Комплексный Центр социального обслуживания населения» продолжает  реализацию мероприятий по созданию системы долговременного ухода за гражданами пожилого возраста и инвалидами, проживающими на территории Кемеровской области. Одна из задач долговременного ухода - системная поддержка и повышение качества жизни граждан пожилого возраста при получении ими социальных услуг и медицинской помощи. На реализацию мероприятий по созданию СДУ в 2025г. Выделено 15 434,5 тыс. руб. (фонд оплаты труда 18 сиделок). За отчётный период реализовано 74,5 %.</w:t>
      </w:r>
    </w:p>
    <w:p>
      <w:pPr>
        <w:pStyle w:val="para121"/>
        <w:ind w:firstLine="708"/>
        <w:spacing/>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В отчётном периоде</w:t>
      </w:r>
      <w:r>
        <w:rPr>
          <w:rFonts w:ascii="Times New Roman" w:hAnsi="Times New Roman" w:eastAsia="Times New Roman" w:cs="Times New Roman"/>
          <w:b/>
          <w:color w:val="000000"/>
          <w:sz w:val="24"/>
        </w:rPr>
        <w:t xml:space="preserve"> 12 отделениями надомного обслуживания</w:t>
      </w:r>
      <w:r>
        <w:rPr>
          <w:rFonts w:ascii="Times New Roman" w:hAnsi="Times New Roman" w:eastAsia="Times New Roman" w:cs="Times New Roman"/>
          <w:color w:val="000000"/>
          <w:sz w:val="24"/>
        </w:rPr>
        <w:t xml:space="preserve"> оказано</w:t>
      </w:r>
      <w:r>
        <w:rPr>
          <w:rFonts w:ascii="Times New Roman" w:hAnsi="Times New Roman" w:eastAsia="Times New Roman" w:cs="Times New Roman"/>
          <w:color w:val="000000"/>
          <w:sz w:val="24"/>
          <w:position w:val="0"/>
        </w:rPr>
        <w:t xml:space="preserve"> </w:t>
      </w:r>
      <w:r>
        <w:rPr>
          <w:rFonts w:ascii="Times New Roman" w:hAnsi="Times New Roman" w:eastAsia="Times New Roman" w:cs="Times New Roman"/>
          <w:color w:val="000000"/>
          <w:sz w:val="24"/>
        </w:rPr>
        <w:t xml:space="preserve">1 265 092 </w:t>
      </w:r>
      <w:r>
        <w:rPr>
          <w:rFonts w:ascii="Times New Roman" w:hAnsi="Times New Roman" w:eastAsia="Times New Roman" w:cs="Times New Roman"/>
          <w:color w:val="000000"/>
          <w:sz w:val="24"/>
          <w:position w:val="0"/>
        </w:rPr>
        <w:t xml:space="preserve"> </w:t>
      </w:r>
      <w:r>
        <w:rPr>
          <w:rFonts w:ascii="Times New Roman" w:hAnsi="Times New Roman" w:eastAsia="Times New Roman" w:cs="Times New Roman"/>
          <w:color w:val="000000"/>
          <w:sz w:val="24"/>
        </w:rPr>
        <w:t xml:space="preserve">услуг, из них: социальных – </w:t>
      </w:r>
      <w:r>
        <w:rPr>
          <w:rFonts w:ascii="Times New Roman" w:hAnsi="Times New Roman" w:eastAsia="Times New Roman" w:cs="Times New Roman"/>
          <w:color w:val="000000"/>
          <w:sz w:val="24"/>
          <w:position w:val="0"/>
        </w:rPr>
        <w:t xml:space="preserve">725 594, дополнительных – </w:t>
      </w:r>
      <w:r>
        <w:rPr>
          <w:rFonts w:ascii="Times New Roman" w:hAnsi="Times New Roman" w:eastAsia="Times New Roman" w:cs="Times New Roman"/>
          <w:color w:val="000000"/>
          <w:sz w:val="24"/>
        </w:rPr>
        <w:t>539 498. Доход от предоставленных платных услуг составил 12 087,4 тыс.</w:t>
      </w:r>
      <w:r>
        <w:rPr>
          <w:rFonts w:ascii="Times New Roman" w:hAnsi="Times New Roman" w:eastAsia="Times New Roman" w:cs="Times New Roman"/>
          <w:color w:val="000000"/>
          <w:sz w:val="24"/>
          <w:position w:val="0"/>
        </w:rPr>
        <w:t xml:space="preserve">  руб.</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r>
    </w:p>
    <w:p>
      <w:pPr>
        <w:pStyle w:val="para85"/>
        <w:ind w:firstLine="708"/>
        <w:spacing/>
        <w:jc w:val="both"/>
        <w:rPr>
          <w:rFonts w:eastAsia="Times New Roman"/>
          <w:color w:val="000000"/>
          <w:sz w:val="24"/>
          <w:szCs w:val="22"/>
        </w:rPr>
      </w:pPr>
      <w:r>
        <w:rPr>
          <w:rFonts w:eastAsia="Times New Roman"/>
          <w:color w:val="000000"/>
          <w:sz w:val="24"/>
          <w:szCs w:val="22"/>
        </w:rPr>
        <w:t xml:space="preserve">За отчётный период в </w:t>
      </w:r>
      <w:r>
        <w:rPr>
          <w:rFonts w:eastAsia="Times New Roman"/>
          <w:b/>
          <w:color w:val="000000"/>
          <w:sz w:val="24"/>
          <w:szCs w:val="22"/>
        </w:rPr>
        <w:t>отделении дневного пребывания</w:t>
      </w:r>
      <w:r>
        <w:rPr>
          <w:rFonts w:eastAsia="Times New Roman"/>
          <w:color w:val="000000"/>
          <w:sz w:val="24"/>
          <w:szCs w:val="22"/>
        </w:rPr>
        <w:t xml:space="preserve"> предоставлено </w:t>
      </w:r>
      <w:r>
        <w:rPr>
          <w:rFonts w:eastAsia="Times New Roman"/>
          <w:color w:val="000000"/>
          <w:sz w:val="24"/>
          <w:szCs w:val="22"/>
          <w:lang w:eastAsia="ru-ru"/>
        </w:rPr>
        <w:t xml:space="preserve">14460 </w:t>
      </w:r>
      <w:r>
        <w:rPr>
          <w:rFonts w:eastAsia="Times New Roman"/>
          <w:color w:val="000000"/>
          <w:sz w:val="24"/>
          <w:szCs w:val="22"/>
        </w:rPr>
        <w:t xml:space="preserve"> социальных услуг, 3776</w:t>
      </w:r>
      <w:r>
        <w:rPr>
          <w:rFonts w:eastAsia="Times New Roman"/>
          <w:color w:val="000000"/>
          <w:sz w:val="24"/>
          <w:szCs w:val="22"/>
          <w:lang w:eastAsia="ru-ru"/>
        </w:rPr>
        <w:t xml:space="preserve"> </w:t>
      </w:r>
      <w:r>
        <w:rPr>
          <w:rFonts w:eastAsia="Times New Roman"/>
          <w:color w:val="000000"/>
          <w:sz w:val="24"/>
          <w:szCs w:val="22"/>
        </w:rPr>
        <w:t xml:space="preserve">услуг по дополнительному перечню. Общий доход от предоставленных отделением услуг составил – </w:t>
      </w:r>
      <w:r>
        <w:rPr>
          <w:rFonts w:eastAsia="Times New Roman"/>
          <w:b/>
          <w:color w:val="000000"/>
          <w:sz w:val="24"/>
          <w:szCs w:val="22"/>
          <w:lang w:eastAsia="ru-ru"/>
        </w:rPr>
        <w:t xml:space="preserve">380,1 </w:t>
      </w:r>
      <w:r>
        <w:rPr>
          <w:rFonts w:eastAsia="Times New Roman"/>
          <w:color w:val="000000"/>
          <w:sz w:val="24"/>
          <w:szCs w:val="22"/>
        </w:rPr>
        <w:t>тыс. руб.</w:t>
      </w:r>
      <w:r>
        <w:rPr>
          <w:rFonts w:eastAsia="Times New Roman"/>
          <w:color w:val="000000"/>
          <w:sz w:val="24"/>
          <w:szCs w:val="22"/>
        </w:rPr>
      </w:r>
    </w:p>
    <w:p>
      <w:pPr>
        <w:pStyle w:val="para85"/>
        <w:ind w:right="79" w:firstLine="709"/>
        <w:spacing/>
        <w:jc w:val="both"/>
        <w:rPr>
          <w:rFonts w:eastAsia="Times New Roman"/>
          <w:color w:val="000000"/>
          <w:sz w:val="24"/>
          <w:szCs w:val="22"/>
        </w:rPr>
      </w:pPr>
      <w:r>
        <w:rPr>
          <w:rFonts w:eastAsia="Times New Roman"/>
          <w:color w:val="000000"/>
          <w:sz w:val="24"/>
          <w:szCs w:val="22"/>
        </w:rPr>
        <w:t xml:space="preserve">В  отчётном периоде в </w:t>
      </w:r>
      <w:r>
        <w:rPr>
          <w:rFonts w:eastAsia="Times New Roman"/>
          <w:b/>
          <w:color w:val="000000"/>
          <w:sz w:val="24"/>
          <w:szCs w:val="22"/>
        </w:rPr>
        <w:t>отделение срочного социального обслуживания</w:t>
      </w:r>
      <w:r>
        <w:rPr>
          <w:rFonts w:eastAsia="Times New Roman"/>
          <w:color w:val="000000"/>
          <w:sz w:val="24"/>
          <w:szCs w:val="22"/>
        </w:rPr>
        <w:t xml:space="preserve"> оказано помощь 1273 чел. В рамках работы </w:t>
      </w:r>
      <w:r>
        <w:rPr>
          <w:rFonts w:eastAsia="Times New Roman"/>
          <w:i/>
          <w:color w:val="000000"/>
          <w:sz w:val="24"/>
          <w:szCs w:val="22"/>
        </w:rPr>
        <w:t>«Мобильной бригады»</w:t>
      </w:r>
      <w:r>
        <w:rPr>
          <w:rFonts w:eastAsia="Times New Roman"/>
          <w:color w:val="000000"/>
          <w:sz w:val="24"/>
          <w:szCs w:val="22"/>
        </w:rPr>
        <w:t xml:space="preserve"> организовано 46 выездов, получили помощь различного характера 201 чел. В течение отчётного периода из средств </w:t>
      </w:r>
      <w:r>
        <w:rPr>
          <w:rFonts w:eastAsia="Times New Roman"/>
          <w:i/>
          <w:color w:val="000000"/>
          <w:sz w:val="24"/>
          <w:szCs w:val="22"/>
        </w:rPr>
        <w:t>«Пункта приёма и выдачи вещей»</w:t>
      </w:r>
      <w:r>
        <w:rPr>
          <w:rFonts w:eastAsia="Times New Roman"/>
          <w:color w:val="000000"/>
          <w:sz w:val="24"/>
          <w:szCs w:val="22"/>
        </w:rPr>
        <w:t xml:space="preserve"> оказана помощь 56 чел., находящимся  в трудном материальном положении в количестве 680 ед. Услугами </w:t>
      </w:r>
      <w:r>
        <w:rPr>
          <w:rFonts w:eastAsia="Times New Roman"/>
          <w:i/>
          <w:color w:val="000000"/>
          <w:sz w:val="24"/>
          <w:szCs w:val="22"/>
        </w:rPr>
        <w:t>«Социальное такси»</w:t>
      </w:r>
      <w:r>
        <w:rPr>
          <w:rFonts w:eastAsia="Times New Roman"/>
          <w:color w:val="000000"/>
          <w:sz w:val="24"/>
          <w:szCs w:val="22"/>
        </w:rPr>
        <w:t xml:space="preserve"> воспользовалось 547 чел. </w:t>
      </w:r>
      <w:r>
        <w:rPr>
          <w:rFonts w:eastAsia="Times New Roman"/>
          <w:color w:val="000000"/>
          <w:sz w:val="24"/>
          <w:szCs w:val="22"/>
        </w:rPr>
      </w:r>
    </w:p>
    <w:p>
      <w:pPr>
        <w:ind w:firstLine="708"/>
        <w:spacing/>
        <w:contextualSpacing/>
        <w:jc w:val="both"/>
        <w:rPr>
          <w:color w:val="000000"/>
          <w:kern w:val="1"/>
          <w:sz w:val="24"/>
          <w:szCs w:val="24"/>
          <w:lang w:eastAsia="ru-ru"/>
        </w:rPr>
      </w:pPr>
      <w:r>
        <w:rPr>
          <w:color w:val="000000"/>
          <w:kern w:val="1"/>
          <w:sz w:val="24"/>
          <w:szCs w:val="24"/>
          <w:lang w:eastAsia="ru-ru"/>
        </w:rPr>
        <w:t xml:space="preserve">За отчётный период в </w:t>
      </w:r>
      <w:r>
        <w:rPr>
          <w:b/>
          <w:color w:val="000000"/>
          <w:kern w:val="1"/>
          <w:sz w:val="24"/>
          <w:szCs w:val="24"/>
          <w:lang w:eastAsia="ru-ru"/>
        </w:rPr>
        <w:t>социально – реабилитационном отделении</w:t>
      </w:r>
      <w:r>
        <w:rPr>
          <w:color w:val="000000"/>
          <w:kern w:val="1"/>
          <w:sz w:val="24"/>
          <w:szCs w:val="24"/>
          <w:lang w:eastAsia="ru-ru"/>
        </w:rPr>
        <w:t xml:space="preserve"> были предоставлены услуги трём целевым группам: с психическими расстройствами, с когнитивными нарушениями, с нарушениями опорно-двигательного аппарата. Услуги предоставлены 53 получателям социальных услуг. За отчётный период предоставлено 2 096 социальных услуг. </w:t>
      </w:r>
    </w:p>
    <w:p>
      <w:pPr>
        <w:pStyle w:val="para121"/>
        <w:ind w:firstLine="708"/>
        <w:spacing/>
        <w:jc w:val="both"/>
        <w:rPr>
          <w:rFonts w:ascii="Times New Roman" w:hAnsi="Times New Roman" w:eastAsia="Times New Roman" w:cs="Times New Roman"/>
          <w:iCs/>
          <w:color w:val="000000"/>
          <w:sz w:val="24"/>
        </w:rPr>
      </w:pPr>
      <w:r>
        <w:rPr>
          <w:rFonts w:ascii="Times New Roman" w:hAnsi="Times New Roman" w:eastAsia="Times New Roman" w:cs="Times New Roman"/>
          <w:color w:val="000000"/>
          <w:sz w:val="24"/>
        </w:rPr>
        <w:t xml:space="preserve">В отчётном периоде в </w:t>
      </w:r>
      <w:r>
        <w:rPr>
          <w:rFonts w:ascii="Times New Roman" w:hAnsi="Times New Roman" w:eastAsia="Times New Roman" w:cs="Times New Roman"/>
          <w:iCs/>
          <w:color w:val="000000"/>
          <w:sz w:val="24"/>
        </w:rPr>
        <w:t>отделение  обратилось и оказаны услуги в отношении 1613 граждан, имеющих индивидуальные программы.</w:t>
      </w:r>
      <w:r>
        <w:rPr>
          <w:rFonts w:ascii="Times New Roman" w:hAnsi="Times New Roman" w:eastAsia="Times New Roman" w:cs="Times New Roman"/>
          <w:iCs/>
          <w:color w:val="000000"/>
          <w:sz w:val="24"/>
        </w:rPr>
      </w:r>
    </w:p>
    <w:p>
      <w:pPr>
        <w:pStyle w:val="para121"/>
        <w:ind w:firstLine="708"/>
        <w:spacing/>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Продолжается работа </w:t>
      </w:r>
      <w:r>
        <w:rPr>
          <w:rFonts w:ascii="Times New Roman" w:hAnsi="Times New Roman" w:eastAsia="Times New Roman" w:cs="Times New Roman"/>
          <w:i/>
          <w:color w:val="000000"/>
          <w:sz w:val="24"/>
        </w:rPr>
        <w:t>«Школы ухода»</w:t>
      </w:r>
      <w:r>
        <w:rPr>
          <w:rFonts w:ascii="Times New Roman" w:hAnsi="Times New Roman" w:eastAsia="Times New Roman" w:cs="Times New Roman"/>
          <w:color w:val="000000"/>
          <w:sz w:val="24"/>
        </w:rPr>
        <w:t xml:space="preserve"> для родственников и лиц, осуществляющих уход за маломобильными и немобильными гражданами. За отчётный период проведено 206 занятия. Школу посетили 274 чел.</w:t>
      </w:r>
    </w:p>
    <w:p>
      <w:pPr>
        <w:pStyle w:val="para85"/>
        <w:ind w:right="79" w:firstLine="709"/>
        <w:spacing w:after="240"/>
        <w:jc w:val="both"/>
        <w:rPr>
          <w:rFonts w:eastAsia="Times New Roman"/>
          <w:color w:val="000000"/>
          <w:sz w:val="24"/>
        </w:rPr>
      </w:pPr>
      <w:r>
        <w:rPr>
          <w:rFonts w:eastAsia="Times New Roman"/>
          <w:color w:val="000000"/>
          <w:sz w:val="24"/>
        </w:rPr>
        <w:t xml:space="preserve">В течение отчётного периода услугами </w:t>
      </w:r>
      <w:r>
        <w:rPr>
          <w:rFonts w:eastAsia="Times New Roman"/>
          <w:i/>
          <w:color w:val="000000"/>
          <w:sz w:val="24"/>
        </w:rPr>
        <w:t>«Пункта проката технических средств реабилитации»</w:t>
      </w:r>
      <w:r>
        <w:rPr>
          <w:rFonts w:eastAsia="Times New Roman"/>
          <w:color w:val="000000"/>
          <w:sz w:val="24"/>
        </w:rPr>
        <w:t xml:space="preserve"> воспользовалось 202 чел., выдано 221  единица ТСР. </w:t>
      </w:r>
    </w:p>
    <w:p>
      <w:pPr>
        <w:spacing/>
        <w:jc w:val="both"/>
        <w:rPr>
          <w:color w:val="000000"/>
          <w:sz w:val="24"/>
          <w:szCs w:val="24"/>
        </w:rPr>
      </w:pPr>
      <w:r>
        <w:rPr>
          <w:color w:val="000000"/>
          <w:sz w:val="24"/>
          <w:szCs w:val="24"/>
        </w:rPr>
      </w:r>
    </w:p>
    <w:p>
      <w:pPr>
        <w:ind w:firstLine="719"/>
        <w:spacing/>
        <w:contextualSpacing/>
        <w:jc w:val="center"/>
        <w:widowControl/>
        <w:tabs defTabSz="720">
          <w:tab w:val="left" w:pos="840" w:leader="none"/>
        </w:tabs>
        <w:rPr>
          <w:b/>
          <w:bCs/>
          <w:color w:val="000000"/>
          <w:sz w:val="24"/>
          <w:szCs w:val="24"/>
        </w:rPr>
      </w:pPr>
      <w:r>
        <w:rPr>
          <w:b/>
          <w:bCs/>
          <w:color w:val="000000"/>
          <w:sz w:val="24"/>
          <w:szCs w:val="24"/>
        </w:rPr>
        <w:t>15. ФИЗКУЛЬТУРА И СПОРТ</w:t>
      </w:r>
    </w:p>
    <w:p>
      <w:pPr>
        <w:ind w:firstLine="680"/>
        <w:spacing/>
        <w:contextualSpacing/>
        <w:jc w:val="both"/>
        <w:widowControl/>
        <w:rPr>
          <w:color w:val="000000"/>
          <w:sz w:val="24"/>
          <w:szCs w:val="24"/>
        </w:rPr>
      </w:pPr>
      <w:r>
        <w:rPr>
          <w:color w:val="000000"/>
          <w:sz w:val="24"/>
          <w:szCs w:val="24"/>
        </w:rPr>
      </w:r>
    </w:p>
    <w:p>
      <w:pPr>
        <w:ind w:firstLine="680"/>
        <w:spacing/>
        <w:contextualSpacing/>
        <w:jc w:val="both"/>
        <w:widowControl/>
        <w:rPr>
          <w:color w:val="000000"/>
          <w:sz w:val="24"/>
          <w:szCs w:val="24"/>
        </w:rPr>
      </w:pPr>
      <w:r>
        <w:rPr>
          <w:color w:val="000000"/>
          <w:sz w:val="24"/>
          <w:szCs w:val="24"/>
        </w:rPr>
        <w:t>Развитием спорта на территории городского округа занимаются 2 физкультурно-спортивных учреждения (</w:t>
      </w:r>
      <w:r>
        <w:rPr>
          <w:i/>
          <w:iCs/>
          <w:color w:val="000000"/>
          <w:sz w:val="24"/>
          <w:szCs w:val="24"/>
        </w:rPr>
        <w:t>МБ ФСУ «СШОР», МБ ФСУ СШ «Сибиряк»</w:t>
      </w:r>
      <w:r>
        <w:rPr>
          <w:color w:val="000000"/>
          <w:sz w:val="24"/>
          <w:szCs w:val="24"/>
        </w:rPr>
        <w:t>), 3 учреждения дополнительного образования спортивной направленности (</w:t>
      </w:r>
      <w:r>
        <w:rPr>
          <w:i/>
          <w:iCs/>
          <w:color w:val="000000"/>
          <w:sz w:val="24"/>
          <w:szCs w:val="24"/>
        </w:rPr>
        <w:t>МБУ ДО ДЮСШ № 1 «Юность», МБУ ДО «СЮТур», МБУ ДО «ООЦ «Олимп»</w:t>
      </w:r>
      <w:r>
        <w:rPr>
          <w:color w:val="000000"/>
          <w:sz w:val="24"/>
          <w:szCs w:val="24"/>
        </w:rPr>
        <w:t>), которые посещают 7 564 человека.</w:t>
      </w:r>
      <w:r>
        <w:rPr>
          <w:color w:val="000000"/>
          <w:sz w:val="24"/>
          <w:szCs w:val="24"/>
        </w:rPr>
      </w:r>
    </w:p>
    <w:p>
      <w:pPr>
        <w:ind w:firstLine="680"/>
        <w:spacing/>
        <w:contextualSpacing/>
        <w:jc w:val="both"/>
        <w:rPr>
          <w:b/>
          <w:bCs/>
          <w:color w:val="000000"/>
          <w:sz w:val="24"/>
          <w:szCs w:val="24"/>
        </w:rPr>
      </w:pPr>
      <w:r>
        <w:rPr>
          <w:color w:val="000000"/>
          <w:sz w:val="24"/>
          <w:szCs w:val="24"/>
        </w:rPr>
        <w:t xml:space="preserve">Создание условий, обеспечивающих возможность для жителей города вести здоровый образ жизни – основная задача работников спорта. Целевой ориентир в сфере спорта - </w:t>
      </w:r>
      <w:r>
        <w:rPr>
          <w:b/>
          <w:bCs/>
          <w:color w:val="000000"/>
          <w:sz w:val="24"/>
          <w:szCs w:val="24"/>
        </w:rPr>
        <w:t>увеличение доли граждан, систематически занимающихся физической культурой и спортом</w:t>
      </w:r>
      <w:r>
        <w:rPr>
          <w:color w:val="000000"/>
          <w:sz w:val="24"/>
          <w:szCs w:val="24"/>
        </w:rPr>
        <w:t xml:space="preserve"> в 2025 году </w:t>
      </w:r>
      <w:r>
        <w:rPr>
          <w:b/>
          <w:bCs/>
          <w:color w:val="000000"/>
          <w:sz w:val="24"/>
          <w:szCs w:val="24"/>
        </w:rPr>
        <w:t>до 68,7</w:t>
      </w:r>
      <w:r>
        <w:rPr>
          <w:b/>
          <w:bCs/>
          <w:color w:val="000000"/>
          <w:sz w:val="24"/>
          <w:szCs w:val="24"/>
        </w:rPr>
        <w:t>%.</w:t>
      </w:r>
      <w:r>
        <w:rPr>
          <w:b/>
          <w:bCs/>
          <w:color w:val="000000"/>
          <w:sz w:val="24"/>
          <w:szCs w:val="24"/>
        </w:rPr>
        <w:t xml:space="preserve"> </w:t>
      </w:r>
      <w:r>
        <w:rPr>
          <w:b/>
          <w:bCs/>
          <w:color w:val="000000"/>
          <w:sz w:val="24"/>
          <w:szCs w:val="24"/>
        </w:rPr>
      </w:r>
    </w:p>
    <w:p>
      <w:pPr>
        <w:ind w:firstLine="680"/>
        <w:spacing/>
        <w:contextualSpacing/>
        <w:jc w:val="both"/>
        <w:rPr>
          <w:color w:val="000000"/>
          <w:sz w:val="24"/>
          <w:szCs w:val="24"/>
          <w:lang w:eastAsia="ru-ru"/>
        </w:rPr>
      </w:pPr>
      <w:r>
        <w:rPr>
          <w:color w:val="000000"/>
          <w:sz w:val="24"/>
          <w:szCs w:val="24"/>
        </w:rPr>
        <w:t xml:space="preserve">Как результат, </w:t>
      </w:r>
      <w:r>
        <w:rPr>
          <w:b/>
          <w:bCs/>
          <w:color w:val="000000"/>
          <w:sz w:val="24"/>
          <w:szCs w:val="24"/>
        </w:rPr>
        <w:t>68,7%</w:t>
      </w:r>
      <w:r>
        <w:rPr>
          <w:color w:val="000000"/>
          <w:sz w:val="24"/>
          <w:szCs w:val="24"/>
        </w:rPr>
        <w:t xml:space="preserve"> или </w:t>
      </w:r>
      <w:r>
        <w:rPr>
          <w:b/>
          <w:bCs/>
          <w:color w:val="000000"/>
          <w:sz w:val="24"/>
          <w:szCs w:val="24"/>
        </w:rPr>
        <w:t>40 986 человек систематически занимаются физической культурой и спортом</w:t>
      </w:r>
      <w:r>
        <w:rPr>
          <w:color w:val="000000"/>
          <w:sz w:val="24"/>
          <w:szCs w:val="24"/>
        </w:rPr>
        <w:t xml:space="preserve">, т.е. целевой показатель в сфере спорта достигнут. </w:t>
      </w:r>
      <w:r>
        <w:rPr>
          <w:color w:val="000000"/>
          <w:sz w:val="24"/>
          <w:szCs w:val="24"/>
          <w:lang w:eastAsia="ru-ru"/>
        </w:rPr>
        <w:t>Кроме того, среди обучающихся постоянно занимаются физической культурой и спортом 12834 человек или 89 % от численности населения муниципального образования в возрасте до 17 лет.</w:t>
      </w:r>
      <w:r>
        <w:rPr>
          <w:color w:val="000000"/>
          <w:sz w:val="24"/>
          <w:szCs w:val="24"/>
          <w:lang w:eastAsia="ru-ru"/>
        </w:rPr>
      </w:r>
    </w:p>
    <w:p>
      <w:pPr>
        <w:ind w:firstLine="680"/>
        <w:spacing/>
        <w:contextualSpacing/>
        <w:jc w:val="both"/>
        <w:rPr>
          <w:color w:val="000000"/>
          <w:sz w:val="24"/>
          <w:szCs w:val="24"/>
        </w:rPr>
      </w:pPr>
      <w:r>
        <w:rPr>
          <w:color w:val="000000"/>
          <w:sz w:val="24"/>
          <w:szCs w:val="24"/>
        </w:rPr>
        <w:t>За 2025 года комитетом по физической культуре, спорту и молодёжной политике, спортивными школами и федерациями по различным видам спорта было проведено 319 физкультурно-оздоровительных мероприятий и соревнований, в том числе 1 всероссийское соревнование, 14 региональных, 304 городских соревнований, в которых приняло участие более 10,5 тыс. человек.</w:t>
      </w:r>
    </w:p>
    <w:p>
      <w:pPr>
        <w:ind w:firstLine="680"/>
        <w:spacing/>
        <w:contextualSpacing/>
        <w:jc w:val="both"/>
        <w:rPr>
          <w:color w:val="000000"/>
          <w:sz w:val="24"/>
          <w:szCs w:val="24"/>
        </w:rPr>
      </w:pPr>
      <w:r>
        <w:rPr>
          <w:color w:val="000000"/>
          <w:sz w:val="24"/>
          <w:szCs w:val="24"/>
          <w:shd w:val="clear" w:fill="ffffff"/>
        </w:rPr>
        <w:t>За отчётный пе</w:t>
      </w:r>
      <w:r>
        <w:rPr>
          <w:color w:val="000000"/>
          <w:sz w:val="24"/>
          <w:szCs w:val="24"/>
        </w:rPr>
        <w:t>риод 3 чел. выполнили норматив Мастера спорта, 1- мастер спорта, 17 человек- кандидаты в Мастера спорта, 46 чел. – первого разряда и 657 – массовые разряды.</w:t>
      </w:r>
    </w:p>
    <w:p>
      <w:pPr>
        <w:ind w:firstLine="680"/>
        <w:spacing/>
        <w:contextualSpacing/>
        <w:jc w:val="both"/>
        <w:rPr>
          <w:color w:val="000000"/>
          <w:sz w:val="24"/>
          <w:szCs w:val="24"/>
        </w:rPr>
      </w:pPr>
      <w:r>
        <w:rPr>
          <w:color w:val="000000"/>
          <w:sz w:val="24"/>
          <w:szCs w:val="24"/>
        </w:rPr>
        <w:t>Уровень обеспеченности спортивными сооружениями исходя из единовременной пропускной способности - 75,2%.</w:t>
      </w:r>
    </w:p>
    <w:p>
      <w:pPr>
        <w:ind w:firstLine="680"/>
        <w:spacing/>
        <w:contextualSpacing/>
        <w:jc w:val="both"/>
        <w:rPr>
          <w:color w:val="000000"/>
          <w:sz w:val="24"/>
          <w:szCs w:val="24"/>
        </w:rPr>
      </w:pPr>
      <w:r>
        <w:rPr>
          <w:color w:val="000000"/>
          <w:sz w:val="24"/>
          <w:szCs w:val="24"/>
        </w:rPr>
        <w:t>С целью увеличения целевого показателя развиваем базу спортивных учреждений, планируется открытие новых спортивных площадок, строительство новых спортивных объектов.</w:t>
      </w:r>
    </w:p>
    <w:p>
      <w:pPr>
        <w:ind w:firstLine="708"/>
        <w:spacing/>
        <w:contextualSpacing/>
        <w:jc w:val="both"/>
        <w:rPr>
          <w:rFonts w:eastAsia="Calibri"/>
          <w:color w:val="000000"/>
          <w:sz w:val="24"/>
          <w:szCs w:val="24"/>
          <w:lang w:eastAsia="en-us"/>
        </w:rPr>
      </w:pPr>
      <w:r>
        <w:rPr>
          <w:rFonts w:eastAsia="Calibri"/>
          <w:color w:val="000000"/>
          <w:sz w:val="24"/>
          <w:szCs w:val="24"/>
          <w:lang w:eastAsia="en-us"/>
        </w:rPr>
        <w:t>Всего за летний период спортивные площадки посетили 11350 детей и подростков, из них 511 чел. из неблагополучных семей и состоящих на различных видах профилактического учёта.</w:t>
      </w:r>
    </w:p>
    <w:p>
      <w:pPr>
        <w:ind w:firstLine="708"/>
        <w:spacing/>
        <w:contextualSpacing/>
        <w:jc w:val="both"/>
        <w:rPr>
          <w:rFonts w:eastAsia="Calibri"/>
          <w:color w:val="000000"/>
          <w:sz w:val="24"/>
          <w:szCs w:val="24"/>
          <w:lang w:eastAsia="en-us"/>
        </w:rPr>
      </w:pPr>
      <w:r>
        <w:rPr>
          <w:rFonts w:eastAsia="Calibri"/>
          <w:color w:val="000000"/>
          <w:sz w:val="24"/>
          <w:szCs w:val="24"/>
          <w:lang w:eastAsia="en-us"/>
        </w:rPr>
        <w:t xml:space="preserve">Для организации работы на летних спортивных площадках был приобретен необходимый спортивный инвентарь за счет средств комитета по физической культуре, спорту и молодежной политике (мячи баскетбольные, волейбольные, футбольные, скакалки, ракетки для бадминтона, сетки баскетбольные, футбольные, волейбольные) на сумму 300 тыс. руб. </w:t>
      </w:r>
    </w:p>
    <w:p>
      <w:pPr>
        <w:ind w:firstLine="708"/>
        <w:spacing/>
        <w:contextualSpacing/>
        <w:jc w:val="both"/>
        <w:rPr>
          <w:rFonts w:eastAsia="Calibri"/>
          <w:color w:val="000000"/>
          <w:sz w:val="24"/>
          <w:szCs w:val="24"/>
          <w:lang w:eastAsia="en-us"/>
        </w:rPr>
      </w:pPr>
      <w:r>
        <w:rPr>
          <w:rFonts w:eastAsia="Calibri"/>
          <w:color w:val="000000"/>
          <w:sz w:val="24"/>
          <w:szCs w:val="24"/>
          <w:lang w:eastAsia="en-us"/>
        </w:rPr>
        <w:t>На спортивных площадках проводились физкультурно-оздоровительные мероприятия для детей и подростков, соревнования и матчевые встречи по игровым видам спорта: стритболу, волейболу, футболу, в том числе и городские массовые соревнования.</w:t>
      </w:r>
    </w:p>
    <w:p>
      <w:pPr>
        <w:ind w:firstLine="708"/>
        <w:spacing/>
        <w:contextualSpacing/>
        <w:jc w:val="both"/>
        <w:rPr>
          <w:rFonts w:eastAsia="Calibri"/>
          <w:color w:val="000000"/>
          <w:sz w:val="24"/>
          <w:szCs w:val="24"/>
          <w:lang w:eastAsia="en-us"/>
        </w:rPr>
      </w:pPr>
      <w:r>
        <w:rPr>
          <w:rFonts w:eastAsia="Calibri"/>
          <w:color w:val="000000"/>
          <w:sz w:val="24"/>
          <w:szCs w:val="24"/>
          <w:lang w:eastAsia="en-us"/>
        </w:rPr>
        <w:t xml:space="preserve">В рамках проекта «Лето с ГТО в Кузбассе» на стадионе «Анжерский» была организована работа площадки ГТО, на которой специалисты Центра тестирования оказывали консультативную помощь и принимали нормативы Всероссийского комплекса ГТО, как в тестовом режиме, так и на знак отличия. </w:t>
      </w:r>
    </w:p>
    <w:p>
      <w:pPr>
        <w:ind w:firstLine="708"/>
        <w:spacing/>
        <w:contextualSpacing/>
        <w:jc w:val="both"/>
        <w:rPr>
          <w:rFonts w:eastAsia="Calibri"/>
          <w:color w:val="000000"/>
          <w:sz w:val="24"/>
          <w:szCs w:val="24"/>
          <w:lang w:eastAsia="en-us"/>
        </w:rPr>
      </w:pPr>
      <w:r>
        <w:rPr>
          <w:rFonts w:eastAsia="Calibri"/>
          <w:color w:val="000000"/>
          <w:sz w:val="24"/>
          <w:szCs w:val="24"/>
          <w:lang w:eastAsia="en-us"/>
        </w:rPr>
        <w:t>Муниципальный центр тестирования ВФСК ГТО по итогам 2025 года занимает 4 место в региональном рейтинге ГТО.</w:t>
      </w:r>
    </w:p>
    <w:p>
      <w:pPr>
        <w:ind w:firstLine="708"/>
        <w:spacing/>
        <w:contextualSpacing/>
        <w:jc w:val="both"/>
        <w:rPr>
          <w:rFonts w:eastAsia="Calibri"/>
          <w:color w:val="000000"/>
          <w:sz w:val="24"/>
          <w:szCs w:val="24"/>
          <w:lang w:eastAsia="en-us"/>
        </w:rPr>
      </w:pPr>
      <w:r>
        <w:rPr>
          <w:rFonts w:eastAsia="Calibri"/>
          <w:color w:val="000000"/>
          <w:sz w:val="24"/>
          <w:szCs w:val="24"/>
          <w:lang w:eastAsia="en-us"/>
        </w:rPr>
        <w:t>За 2025 года к выполнению испытаний в тестовом режиме приступили 2757 человек, на знак отличия 2419 граждан.</w:t>
      </w:r>
    </w:p>
    <w:p>
      <w:pPr>
        <w:spacing/>
        <w:contextualSpacing/>
        <w:jc w:val="both"/>
        <w:rPr>
          <w:b/>
          <w:bCs/>
          <w:color w:val="000000"/>
          <w:sz w:val="28"/>
          <w:szCs w:val="28"/>
        </w:rPr>
      </w:pPr>
      <w:r>
        <w:rPr>
          <w:b/>
          <w:bCs/>
          <w:color w:val="000000"/>
          <w:sz w:val="28"/>
          <w:szCs w:val="28"/>
        </w:rPr>
      </w:r>
    </w:p>
    <w:p>
      <w:pPr>
        <w:spacing/>
        <w:contextualSpacing/>
        <w:jc w:val="center"/>
        <w:widowControl/>
        <w:rPr>
          <w:b/>
          <w:color w:val="000000"/>
          <w:sz w:val="24"/>
          <w:szCs w:val="24"/>
        </w:rPr>
      </w:pPr>
      <w:r>
        <w:rPr>
          <w:b/>
          <w:color w:val="000000"/>
          <w:sz w:val="24"/>
          <w:szCs w:val="24"/>
        </w:rPr>
        <w:t>16. КУЛЬТУРА</w:t>
      </w:r>
    </w:p>
    <w:p>
      <w:pPr>
        <w:spacing/>
        <w:contextualSpacing/>
        <w:jc w:val="center"/>
        <w:widowControl/>
        <w:rPr>
          <w:b/>
          <w:color w:val="000000"/>
          <w:sz w:val="24"/>
          <w:szCs w:val="24"/>
        </w:rPr>
      </w:pPr>
      <w:r>
        <w:rPr>
          <w:b/>
          <w:color w:val="000000"/>
          <w:sz w:val="24"/>
          <w:szCs w:val="24"/>
        </w:rPr>
      </w:r>
    </w:p>
    <w:p>
      <w:pPr>
        <w:pStyle w:val="para85"/>
        <w:ind w:firstLine="708"/>
        <w:spacing/>
        <w:jc w:val="center"/>
        <w:rPr>
          <w:rFonts w:eastAsia="Times New Roman"/>
          <w:b/>
          <w:bCs/>
          <w:color w:val="000000"/>
          <w:sz w:val="24"/>
          <w:u w:color="auto" w:val="single"/>
        </w:rPr>
      </w:pPr>
      <w:r>
        <w:rPr>
          <w:rFonts w:eastAsia="Times New Roman"/>
          <w:b/>
          <w:bCs/>
          <w:color w:val="000000"/>
          <w:sz w:val="24"/>
          <w:u w:color="auto" w:val="single"/>
        </w:rPr>
        <w:t>Сеть учреждений культуры</w:t>
      </w:r>
    </w:p>
    <w:p>
      <w:pPr>
        <w:pStyle w:val="para85"/>
        <w:ind w:firstLine="709"/>
        <w:spacing/>
        <w:jc w:val="both"/>
        <w:rPr>
          <w:color w:val="000000"/>
          <w:sz w:val="24"/>
        </w:rPr>
      </w:pPr>
      <w:r>
        <w:rPr>
          <w:color w:val="000000"/>
          <w:sz w:val="24"/>
        </w:rPr>
        <w:t>Сеть муниципальных учреждений культуры представлена Централизованной библиотечной системой, включающей в себя 6 филиалов библиотек, 5 дворцами культуры и клубами, городским краеведческим музеем и 4 образовательными учреждениями культуры (школа искусств, художественная школа, две музыкальных школы), центром бухгалтерского учета и хозяйственного обслуживания.</w:t>
      </w:r>
    </w:p>
    <w:p>
      <w:pPr>
        <w:pStyle w:val="para85"/>
        <w:spacing/>
        <w:jc w:val="both"/>
        <w:rPr>
          <w:bCs/>
          <w:color w:val="000000"/>
          <w:sz w:val="24"/>
        </w:rPr>
      </w:pPr>
      <w:r>
        <w:rPr>
          <w:bCs/>
          <w:color w:val="000000"/>
          <w:sz w:val="24"/>
        </w:rPr>
      </w:r>
    </w:p>
    <w:p>
      <w:pPr>
        <w:spacing/>
        <w:jc w:val="center"/>
        <w:rPr>
          <w:b/>
          <w:bCs/>
          <w:color w:val="000000"/>
          <w:sz w:val="24"/>
          <w:szCs w:val="24"/>
          <w:u w:color="auto" w:val="single"/>
        </w:rPr>
      </w:pPr>
      <w:r>
        <w:rPr>
          <w:b/>
          <w:bCs/>
          <w:color w:val="000000"/>
          <w:sz w:val="24"/>
          <w:szCs w:val="24"/>
          <w:u w:color="auto" w:val="single"/>
        </w:rPr>
        <w:t>Развитие материально-технической базы учреждений культуры</w:t>
      </w:r>
    </w:p>
    <w:p>
      <w:pPr>
        <w:ind w:firstLine="709"/>
        <w:spacing/>
        <w:jc w:val="both"/>
        <w:rPr>
          <w:color w:val="000000"/>
          <w:sz w:val="24"/>
          <w:szCs w:val="24"/>
        </w:rPr>
      </w:pPr>
      <w:r>
        <w:rPr>
          <w:color w:val="000000"/>
          <w:sz w:val="24"/>
          <w:szCs w:val="24"/>
        </w:rPr>
        <w:t>За отчётный период на развитие и содержание учреждений культуры городского округа всего израсходовано 175 771,8 тыс. руб.</w:t>
      </w:r>
      <w:r>
        <w:rPr>
          <w:b/>
          <w:color w:val="000000"/>
          <w:sz w:val="24"/>
          <w:szCs w:val="24"/>
        </w:rPr>
        <w:t xml:space="preserve"> </w:t>
      </w:r>
      <w:r>
        <w:rPr>
          <w:color w:val="000000"/>
          <w:sz w:val="24"/>
          <w:szCs w:val="24"/>
        </w:rPr>
        <w:t>(97,8% от плана на год). В том числе: 161 283,9 тыс. руб. – из средств местного бюджета (97,8% от доведенных бюджетных ассигнований), 3 908,6 тыс. руб. – средства областного бюджета (98,3% от доведенных бюджетных ассигнований), 10 579,3 тыс. руб. за счет внебюджетных доходов (98,8% от годового плана).</w:t>
      </w:r>
    </w:p>
    <w:p>
      <w:pPr>
        <w:ind w:firstLine="709"/>
        <w:spacing/>
        <w:jc w:val="both"/>
        <w:rPr>
          <w:color w:val="000000"/>
          <w:sz w:val="24"/>
          <w:szCs w:val="24"/>
        </w:rPr>
      </w:pPr>
      <w:r>
        <w:rPr>
          <w:color w:val="000000"/>
          <w:sz w:val="24"/>
          <w:szCs w:val="24"/>
        </w:rPr>
        <w:t>За 2025 год были выделены средства в рамках реализации региональных целевых программ:</w:t>
      </w:r>
    </w:p>
    <w:p>
      <w:pPr>
        <w:ind w:firstLine="709"/>
        <w:spacing/>
        <w:jc w:val="both"/>
        <w:rPr>
          <w:color w:val="000000"/>
          <w:sz w:val="24"/>
          <w:szCs w:val="24"/>
        </w:rPr>
      </w:pPr>
      <w:r>
        <w:rPr>
          <w:color w:val="000000"/>
          <w:sz w:val="24"/>
          <w:szCs w:val="24"/>
        </w:rPr>
        <w:t>- выплаты стимулирующего характера работникам клубного типа, музея и библиотек – 4 100,5 тыс. руб., что составляет 98,3% от годового показателя.</w:t>
      </w:r>
    </w:p>
    <w:p>
      <w:pPr>
        <w:ind w:firstLine="709"/>
        <w:spacing/>
        <w:jc w:val="both"/>
        <w:rPr>
          <w:color w:val="000000"/>
          <w:sz w:val="24"/>
          <w:szCs w:val="24"/>
        </w:rPr>
      </w:pPr>
      <w:r>
        <w:rPr>
          <w:color w:val="000000"/>
          <w:sz w:val="24"/>
          <w:szCs w:val="24"/>
        </w:rPr>
        <w:t xml:space="preserve">Губернатором Кемеровской области-Кузбассу на 2025 год доведено целевое значение показателя «среднемесячная номинальная начисленная заработная плата работников муниципальных учреждений культуры и искусства» для учреждений культуры Анжеро-Судженского городского округа в размере 55 581 руб. </w:t>
      </w:r>
    </w:p>
    <w:p>
      <w:pPr>
        <w:ind w:firstLine="709"/>
        <w:spacing/>
        <w:jc w:val="both"/>
        <w:rPr>
          <w:color w:val="000000"/>
          <w:sz w:val="24"/>
          <w:szCs w:val="24"/>
        </w:rPr>
      </w:pPr>
      <w:r>
        <w:rPr>
          <w:color w:val="000000"/>
          <w:sz w:val="24"/>
          <w:szCs w:val="24"/>
        </w:rPr>
        <w:t xml:space="preserve">Значение показателя «Среднемесячная заработная плата работников учреждений культуры» за 2025 год составило 54 798,0 руб. (98,6 % от доведенного целевого значения 55 581,0 руб.). </w:t>
      </w:r>
    </w:p>
    <w:p>
      <w:pPr>
        <w:ind w:firstLine="709"/>
        <w:spacing/>
        <w:jc w:val="both"/>
        <w:rPr>
          <w:color w:val="000000"/>
          <w:sz w:val="24"/>
          <w:szCs w:val="24"/>
        </w:rPr>
      </w:pPr>
      <w:r>
        <w:rPr>
          <w:color w:val="000000"/>
          <w:sz w:val="24"/>
          <w:szCs w:val="24"/>
        </w:rPr>
        <w:t xml:space="preserve">Среднемесячная заработная плата преподавателей школ за 2025 год составила 64 856,00 рублей – 103,6% от плана (62 610,14 руб.). За соответствующий период 2024 года среднемесячная заработная плата преподавателей школ составила 64 342,00 руб. </w:t>
      </w:r>
    </w:p>
    <w:p>
      <w:pPr>
        <w:ind w:firstLine="709"/>
        <w:spacing/>
        <w:jc w:val="both"/>
        <w:rPr>
          <w:color w:val="000000"/>
          <w:sz w:val="24"/>
          <w:szCs w:val="24"/>
        </w:rPr>
      </w:pPr>
      <w:r>
        <w:rPr>
          <w:color w:val="000000"/>
          <w:sz w:val="24"/>
          <w:szCs w:val="24"/>
        </w:rPr>
        <w:t>В рамках «Программы финансового оздоровления Анжеро-Судженского городского округа на 2025-2028 годы» отслеживается соблюдение коэффициента кратности руководителей и работников учреждений, который не должен превышать предельного значения, равного 5.</w:t>
      </w:r>
    </w:p>
    <w:p>
      <w:pPr>
        <w:ind w:firstLine="709"/>
        <w:spacing/>
        <w:jc w:val="both"/>
        <w:rPr>
          <w:color w:val="000000"/>
          <w:sz w:val="24"/>
          <w:szCs w:val="24"/>
        </w:rPr>
      </w:pPr>
      <w:r>
        <w:rPr>
          <w:color w:val="000000"/>
          <w:sz w:val="24"/>
          <w:szCs w:val="24"/>
        </w:rPr>
        <w:t>За 2025 год коэффициент кратности, характеризующий соотношение средней заработной платы руководителей образовательных учреждений культуры по отношению к списочному составу 1,42. Коэффициент кратности, характеризующий соотношение средней заработной платы руководителей учреждений культуры клубного типа, музея и библиотеки по отношению к списочному составу равен 1,96. Вышеуказанный коэффициент кратности не превышает предельного значения.</w:t>
      </w:r>
    </w:p>
    <w:p>
      <w:pPr>
        <w:ind w:firstLine="709"/>
        <w:spacing/>
        <w:jc w:val="both"/>
        <w:tabs defTabSz="708">
          <w:tab w:val="left" w:pos="1276" w:leader="none"/>
        </w:tabs>
        <w:rPr>
          <w:color w:val="000000"/>
          <w:sz w:val="24"/>
          <w:szCs w:val="24"/>
        </w:rPr>
      </w:pPr>
      <w:r>
        <w:rPr>
          <w:color w:val="000000"/>
          <w:sz w:val="24"/>
          <w:szCs w:val="24"/>
        </w:rPr>
        <w:t xml:space="preserve">На </w:t>
      </w:r>
      <w:r>
        <w:rPr>
          <w:b/>
          <w:color w:val="000000"/>
          <w:sz w:val="24"/>
          <w:szCs w:val="24"/>
        </w:rPr>
        <w:t>развитие и модернизацию материально-технической базы</w:t>
      </w:r>
      <w:r>
        <w:rPr>
          <w:color w:val="000000"/>
          <w:sz w:val="24"/>
          <w:szCs w:val="24"/>
        </w:rPr>
        <w:t xml:space="preserve"> учреждений культуры выделено </w:t>
      </w:r>
      <w:r>
        <w:rPr>
          <w:b/>
          <w:color w:val="000000"/>
          <w:sz w:val="24"/>
          <w:szCs w:val="24"/>
        </w:rPr>
        <w:t>2 588,3 тыс. руб.</w:t>
      </w:r>
      <w:r>
        <w:rPr>
          <w:color w:val="000000"/>
          <w:sz w:val="24"/>
          <w:szCs w:val="24"/>
        </w:rPr>
        <w:t xml:space="preserve"> (в том числе:</w:t>
      </w:r>
      <w:r>
        <w:rPr>
          <w:b/>
          <w:color w:val="000000"/>
          <w:sz w:val="24"/>
          <w:szCs w:val="24"/>
        </w:rPr>
        <w:t xml:space="preserve"> </w:t>
      </w:r>
      <w:r>
        <w:rPr>
          <w:color w:val="000000"/>
          <w:sz w:val="24"/>
          <w:szCs w:val="24"/>
        </w:rPr>
        <w:t>за счет средств, полученных от приносящей доход деятельности – 2 521,6 тыс. руб.; за счет бюджетных средств – 66,7 тыс. руб.). Наиболее крупные расходы за 2025 год направлены на приобретение: мебели – 421,7 тыс. руб., оргтехники – 264,8 тыс. руб., проектора - 99,0 тыс. руб., производственного инвентаря – 84,2 тыс. руб., световое оборудование – 75,9 тыс. руб., музыкальный инструмент – 50,0 тыс. руб., беспроводной вокальной радиосистемы – 45,2 тыс. руб.</w:t>
      </w:r>
      <w:r>
        <w:rPr>
          <w:color w:val="000000"/>
          <w:sz w:val="24"/>
          <w:szCs w:val="24"/>
        </w:rPr>
      </w:r>
    </w:p>
    <w:p>
      <w:pPr>
        <w:ind w:firstLine="709"/>
        <w:spacing/>
        <w:jc w:val="center"/>
        <w:tabs defTabSz="720">
          <w:tab w:val="left" w:pos="1276" w:leader="none"/>
        </w:tabs>
        <w:rPr>
          <w:b/>
          <w:bCs/>
          <w:color w:val="000000"/>
          <w:sz w:val="24"/>
          <w:szCs w:val="24"/>
          <w:u w:color="auto" w:val="single"/>
        </w:rPr>
      </w:pPr>
      <w:r>
        <w:rPr>
          <w:b/>
          <w:bCs/>
          <w:color w:val="000000"/>
          <w:sz w:val="24"/>
          <w:szCs w:val="24"/>
          <w:u w:color="auto" w:val="single"/>
        </w:rPr>
        <w:t>Работа Городского краеведческого музея</w:t>
      </w:r>
    </w:p>
    <w:p>
      <w:pPr>
        <w:spacing/>
        <w:contextualSpacing/>
        <w:jc w:val="both"/>
        <w:tabs defTabSz="708">
          <w:tab w:val="left" w:pos="720" w:leader="none"/>
        </w:tabs>
        <w:rPr>
          <w:color w:val="000000"/>
          <w:sz w:val="24"/>
          <w:szCs w:val="24"/>
        </w:rPr>
      </w:pPr>
      <w:r>
        <w:rPr>
          <w:color w:val="000000"/>
          <w:sz w:val="24"/>
          <w:szCs w:val="24"/>
        </w:rPr>
        <w:tab/>
        <w:t xml:space="preserve">В 2025 году основной фонд МБУК «ГКМ» пополнился на 180 единиц, научно-вспомогательный фонд на 20 единиц. По состоянию на 31.12.2025 г. фонд МБУК «ГКМ» насчитывает 50433 предмета, что на 200 единиц больше, чем в 2024 году. </w:t>
      </w:r>
      <w:r>
        <w:rPr>
          <w:highlight w:val="white"/>
          <w:color w:val="000000"/>
          <w:sz w:val="24"/>
          <w:szCs w:val="24"/>
        </w:rPr>
        <w:t>В рамках отчетного года была проведена реставрация музейных предметов из фондов МБУК «ГКМ». Финансирование реставрационных мероприятий было осуществлено за счет внебюджетных средств учреждения. В 2025 году</w:t>
      </w:r>
      <w:r>
        <w:rPr>
          <w:color w:val="000000"/>
          <w:sz w:val="24"/>
          <w:szCs w:val="24"/>
        </w:rPr>
        <w:t xml:space="preserve"> выполнен план по внесению музейных предметов в Реестр музеев Государственного каталога Музейного фонда Российской Федерации за период с 2017 по 2025 годы на 100,38%. Всего записей – 43808.</w:t>
      </w:r>
    </w:p>
    <w:p>
      <w:pPr>
        <w:ind w:firstLine="708"/>
        <w:spacing/>
        <w:jc w:val="both"/>
        <w:rPr>
          <w:color w:val="000000"/>
          <w:sz w:val="24"/>
          <w:szCs w:val="24"/>
        </w:rPr>
      </w:pPr>
      <w:r>
        <w:rPr>
          <w:color w:val="000000"/>
          <w:sz w:val="24"/>
          <w:szCs w:val="24"/>
        </w:rPr>
        <w:t>За 12 месяцев 2025 г. в музее проведено 1024 экскурсии, 65 массовых мероприятий, организовано 116 выставок, из них 41- передвижные. Выставки в музее посетили 39151 человек, вне музея – 28190 чел. Число посещений музея, включая массовые и культурно-образовательные мероприятия, составило 53173 чел. Муниципальное задание на 2025 г. выполнено в полном объеме. Анализ посещаемости музейных выставок и экспозиций демонстрирует сохранение устойчивых показателей на протяжении последних двух лет. В 2025 году выставки и экспозиции музея посетило 39151 человек, что сопоставимо с показателем предыдущего года, где количество посетителей составило 39149 человек. Таким образом, можно констатировать, что музей успешно удерживает стабильные показатели посещаемости. Неизменно повышается качество музейной работы, о чем свидетельствуют положительные отзывы посетителей.</w:t>
      </w:r>
    </w:p>
    <w:p>
      <w:pPr>
        <w:spacing/>
        <w:contextualSpacing/>
        <w:jc w:val="both"/>
        <w:tabs defTabSz="708">
          <w:tab w:val="left" w:pos="720" w:leader="none"/>
        </w:tabs>
        <w:rPr>
          <w:color w:val="000000"/>
          <w:sz w:val="24"/>
          <w:szCs w:val="24"/>
        </w:rPr>
      </w:pPr>
      <w:r>
        <w:rPr>
          <w:color w:val="000000"/>
          <w:sz w:val="24"/>
          <w:szCs w:val="24"/>
        </w:rPr>
        <w:tab/>
        <w:t>В отчётном периоде музей принимал участие в проведении Всекузбасских уроков мужества, в том числе в рамках реализации Всекузбасского патриотического музейно-выставочного проекта.</w:t>
      </w:r>
    </w:p>
    <w:p>
      <w:pPr>
        <w:spacing/>
        <w:contextualSpacing/>
        <w:jc w:val="both"/>
        <w:tabs defTabSz="708">
          <w:tab w:val="left" w:pos="720" w:leader="none"/>
        </w:tabs>
        <w:rPr>
          <w:color w:val="000000"/>
          <w:sz w:val="24"/>
          <w:szCs w:val="24"/>
        </w:rPr>
      </w:pPr>
      <w:r>
        <w:rPr>
          <w:color w:val="000000"/>
          <w:sz w:val="24"/>
          <w:szCs w:val="24"/>
        </w:rPr>
        <w:tab/>
        <w:t>С января по июнь 2025 года велась реализация Всекузбасского патриотического проекта «Маршруты Победы». За указанный период проведено 29 автобусно-пешеходных экскурсий «Все для фронта, все для Победы!», которые посетили 581 чел.</w:t>
      </w:r>
    </w:p>
    <w:p>
      <w:pPr>
        <w:spacing/>
        <w:contextualSpacing/>
        <w:jc w:val="both"/>
        <w:tabs defTabSz="708">
          <w:tab w:val="left" w:pos="720" w:leader="none"/>
        </w:tabs>
        <w:rPr>
          <w:color w:val="000000"/>
          <w:sz w:val="24"/>
          <w:szCs w:val="24"/>
        </w:rPr>
      </w:pPr>
      <w:r>
        <w:rPr>
          <w:color w:val="000000"/>
          <w:sz w:val="24"/>
          <w:szCs w:val="24"/>
        </w:rPr>
        <w:tab/>
        <w:t xml:space="preserve">Наиболее крупные и значимые мероприятия: </w:t>
      </w:r>
    </w:p>
    <w:p>
      <w:pPr>
        <w:pStyle w:val="para91"/>
        <w:ind w:left="0" w:firstLine="737"/>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21.02.2025 - Лекция о трудовой доблести и воинской славе Анжеро-Судженска. </w:t>
      </w:r>
    </w:p>
    <w:p>
      <w:pPr>
        <w:pStyle w:val="para91"/>
        <w:ind w:left="0" w:firstLine="737"/>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07.05.2025 - Торжественное подведение итогов VI городского видеоконкурса «Живые письма отгремевшей войны». </w:t>
      </w:r>
    </w:p>
    <w:p>
      <w:pPr>
        <w:pStyle w:val="para91"/>
        <w:ind w:left="0" w:firstLine="737"/>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18.09.2025 - Музейная программа «Герои». Проведена в рамках акции «Ночь музеев», включала презентацию выставки «СВОи герои», рассказывающей об истории и участниках СВО, тематические экскурсии по выставкам и экспозициям музея, мастер-класс по плетению браслетов спасения для СВО, познавательный квиз «О героях былых времен». </w:t>
      </w:r>
    </w:p>
    <w:p>
      <w:pPr>
        <w:pStyle w:val="para91"/>
        <w:ind w:left="0" w:firstLine="737"/>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28.05.2025 г. участие во Всероссийском музейном форуме (г. Кемерово). </w:t>
      </w:r>
    </w:p>
    <w:p>
      <w:pPr>
        <w:pStyle w:val="para91"/>
        <w:spacing/>
        <w:jc w:val="both"/>
        <w:rPr>
          <w:rFonts w:ascii="Times New Roman" w:hAnsi="Times New Roman" w:cs="Times New Roman"/>
          <w:color w:val="000000"/>
          <w:sz w:val="24"/>
          <w:szCs w:val="24"/>
        </w:rPr>
      </w:pPr>
      <w:r>
        <w:rPr>
          <w:rFonts w:ascii="Times New Roman" w:hAnsi="Times New Roman" w:cs="Times New Roman"/>
          <w:color w:val="000000"/>
          <w:sz w:val="24"/>
          <w:szCs w:val="24"/>
        </w:rPr>
        <w:t>29.08.2025 г. Участие в III шахтерском фестивале Северо-Кузбасской агломерации «Сильные духом»</w:t>
      </w:r>
    </w:p>
    <w:p>
      <w:pPr>
        <w:pStyle w:val="para91"/>
        <w:spacing/>
        <w:jc w:val="both"/>
        <w:rPr>
          <w:rFonts w:ascii="Times New Roman" w:hAnsi="Times New Roman" w:cs="Times New Roman"/>
          <w:color w:val="000000"/>
          <w:sz w:val="24"/>
          <w:szCs w:val="24"/>
        </w:rPr>
      </w:pPr>
      <w:r>
        <w:rPr>
          <w:rFonts w:ascii="Times New Roman" w:hAnsi="Times New Roman" w:cs="Times New Roman"/>
          <w:color w:val="000000"/>
          <w:sz w:val="24"/>
          <w:szCs w:val="24"/>
        </w:rPr>
        <w:t>22.10.2025 г. Музейное мероприятие «Человек в истории города»</w:t>
      </w:r>
    </w:p>
    <w:p>
      <w:pPr>
        <w:pStyle w:val="para91"/>
        <w:spacing/>
        <w:jc w:val="both"/>
        <w:rPr>
          <w:rFonts w:ascii="Times New Roman" w:hAnsi="Times New Roman" w:cs="Times New Roman"/>
          <w:color w:val="000000"/>
          <w:sz w:val="24"/>
          <w:szCs w:val="24"/>
        </w:rPr>
      </w:pPr>
      <w:r>
        <w:rPr>
          <w:rFonts w:ascii="Times New Roman" w:hAnsi="Times New Roman" w:cs="Times New Roman"/>
          <w:color w:val="000000"/>
          <w:sz w:val="24"/>
          <w:szCs w:val="24"/>
        </w:rPr>
        <w:t>03.11.2025 г.  Ночь искусств «В единстве культур – сила народа».</w:t>
      </w:r>
    </w:p>
    <w:p>
      <w:pPr>
        <w:pStyle w:val="para91"/>
        <w:ind w:left="0"/>
        <w:spacing/>
        <w:jc w:val="both"/>
        <w:rPr>
          <w:rFonts w:ascii="Times New Roman" w:hAnsi="Times New Roman" w:cs="Times New Roman"/>
          <w:color w:val="000000"/>
          <w:sz w:val="24"/>
          <w:szCs w:val="24"/>
        </w:rPr>
      </w:pPr>
      <w:r>
        <w:rPr>
          <w:rFonts w:ascii="Times New Roman" w:hAnsi="Times New Roman" w:cs="Times New Roman"/>
          <w:color w:val="000000"/>
          <w:sz w:val="24"/>
          <w:szCs w:val="24"/>
        </w:rPr>
        <w:t>24.12.2025 г. День друзей музея. Мероприятие состоялось на базе Новогоднего Визит Центра.</w:t>
      </w:r>
    </w:p>
    <w:p>
      <w:pPr>
        <w:pStyle w:val="para91"/>
        <w:ind w:left="0" w:firstLine="737"/>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 января по декабрь 2025 года велась реализация Всекузбасского патриотического проекта «Маршруты Победы». За указанный период проведено 33 автобусно-пешеходных экскурсий «Все для фронта, все для Победы!», которые посетили 672 чел. </w:t>
      </w:r>
    </w:p>
    <w:p>
      <w:pPr>
        <w:pStyle w:val="para91"/>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первом полугодии издан </w:t>
      </w:r>
      <w:r>
        <w:rPr>
          <w:rFonts w:ascii="Times New Roman" w:hAnsi="Times New Roman" w:cs="Times New Roman"/>
          <w:color w:val="000000"/>
          <w:sz w:val="24"/>
          <w:szCs w:val="24"/>
          <w:lang w:val="en-us"/>
        </w:rPr>
        <w:t>II</w:t>
      </w:r>
      <w:r>
        <w:rPr>
          <w:rFonts w:ascii="Times New Roman" w:hAnsi="Times New Roman" w:cs="Times New Roman"/>
          <w:color w:val="000000"/>
          <w:sz w:val="24"/>
          <w:szCs w:val="24"/>
        </w:rPr>
        <w:t xml:space="preserve"> том книги «Дважды победители».</w:t>
      </w:r>
    </w:p>
    <w:p>
      <w:pPr>
        <w:pStyle w:val="para91"/>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r>
    </w:p>
    <w:p>
      <w:pPr>
        <w:spacing/>
        <w:jc w:val="center"/>
        <w:tabs defTabSz="720">
          <w:tab w:val="left" w:pos="720" w:leader="none"/>
        </w:tabs>
        <w:rPr>
          <w:b/>
          <w:bCs/>
          <w:color w:val="000000"/>
          <w:sz w:val="24"/>
          <w:szCs w:val="24"/>
          <w:u w:color="auto" w:val="single"/>
        </w:rPr>
      </w:pPr>
      <w:r>
        <w:rPr>
          <w:b/>
          <w:bCs/>
          <w:color w:val="000000"/>
          <w:sz w:val="24"/>
          <w:szCs w:val="24"/>
          <w:u w:color="auto" w:val="single"/>
        </w:rPr>
        <w:t xml:space="preserve">Работа Централизованной библиотечной системы </w:t>
      </w:r>
    </w:p>
    <w:p>
      <w:pPr>
        <w:ind w:firstLine="708"/>
        <w:spacing/>
        <w:jc w:val="both"/>
        <w:rPr>
          <w:color w:val="000000"/>
          <w:sz w:val="24"/>
          <w:szCs w:val="24"/>
        </w:rPr>
      </w:pPr>
      <w:r>
        <w:rPr>
          <w:color w:val="000000"/>
          <w:sz w:val="24"/>
          <w:szCs w:val="24"/>
        </w:rPr>
        <w:t>За 2025 год на комплектование фондов библиотек  из местного бюджета финансирования не выделено. На внебюджетные средства – 42018 руб. приобретено 90 экземпляров новых изданий и 6 наименований периодических изданий (журналы).</w:t>
      </w:r>
    </w:p>
    <w:p>
      <w:pPr>
        <w:ind w:firstLine="567"/>
        <w:spacing/>
        <w:jc w:val="both"/>
        <w:rPr>
          <w:color w:val="000000"/>
          <w:sz w:val="24"/>
          <w:szCs w:val="24"/>
        </w:rPr>
      </w:pPr>
      <w:r>
        <w:rPr>
          <w:color w:val="000000"/>
          <w:sz w:val="24"/>
          <w:szCs w:val="24"/>
        </w:rPr>
        <w:t xml:space="preserve">Всего за 12 месяцев 2025 года библиотечный фонд пополнился на 3128 экземпляров книг (в том числе замена утерянных).                       </w:t>
      </w:r>
    </w:p>
    <w:p>
      <w:pPr>
        <w:ind w:firstLine="567"/>
        <w:spacing/>
        <w:jc w:val="both"/>
        <w:rPr>
          <w:color w:val="000000"/>
          <w:sz w:val="24"/>
          <w:szCs w:val="24"/>
        </w:rPr>
      </w:pPr>
      <w:r>
        <w:rPr>
          <w:color w:val="000000"/>
          <w:sz w:val="24"/>
          <w:szCs w:val="24"/>
        </w:rPr>
        <w:t xml:space="preserve">По состоянию на 31.12.2025 года библиотечный фонд Централизованной библиотечной системы насчитывает 289575 экземпляров. </w:t>
      </w:r>
    </w:p>
    <w:p>
      <w:pPr>
        <w:ind w:firstLine="708"/>
        <w:spacing w:line="216" w:lineRule="auto"/>
        <w:jc w:val="both"/>
        <w:rPr>
          <w:color w:val="000000"/>
          <w:sz w:val="24"/>
          <w:szCs w:val="24"/>
        </w:rPr>
      </w:pPr>
      <w:r>
        <w:rPr>
          <w:color w:val="000000"/>
          <w:sz w:val="24"/>
          <w:szCs w:val="24"/>
        </w:rPr>
        <w:t xml:space="preserve">С целью создания условий для улучшения доступа граждан к информации и знаниям за 12 месяцев 2025г. библиотеки посетили  380541 человек. </w:t>
      </w:r>
    </w:p>
    <w:p>
      <w:pPr>
        <w:ind w:firstLine="708"/>
        <w:spacing w:line="216" w:lineRule="auto"/>
        <w:jc w:val="both"/>
        <w:rPr>
          <w:color w:val="000000"/>
          <w:sz w:val="24"/>
          <w:szCs w:val="24"/>
        </w:rPr>
      </w:pPr>
      <w:r>
        <w:rPr>
          <w:color w:val="000000"/>
          <w:sz w:val="24"/>
          <w:szCs w:val="24"/>
        </w:rPr>
        <w:t xml:space="preserve">Объем электронного каталога – 130925 библиографических записей, каталог доступен для пользователей на официальном сайте МБУК «ЦБС» </w:t>
      </w:r>
      <w:hyperlink r:id="rId13" w:history="1">
        <w:r>
          <w:rPr>
            <w:rStyle w:val="char17"/>
            <w:color w:val="000000"/>
            <w:sz w:val="24"/>
            <w:szCs w:val="24"/>
          </w:rPr>
          <w:t>http</w:t>
        </w:r>
        <w:r>
          <w:rPr>
            <w:rStyle w:val="char17"/>
            <w:color w:val="000000"/>
            <w:sz w:val="24"/>
            <w:szCs w:val="24"/>
          </w:rPr>
          <w:t>://</w:t>
        </w:r>
        <w:r>
          <w:rPr>
            <w:rStyle w:val="char17"/>
            <w:color w:val="000000"/>
            <w:sz w:val="24"/>
            <w:szCs w:val="24"/>
          </w:rPr>
          <w:t>ancbs</w:t>
        </w:r>
        <w:r>
          <w:rPr>
            <w:rStyle w:val="char17"/>
            <w:color w:val="000000"/>
            <w:sz w:val="24"/>
            <w:szCs w:val="24"/>
          </w:rPr>
          <w:t>.</w:t>
        </w:r>
        <w:r>
          <w:rPr>
            <w:rStyle w:val="char17"/>
            <w:color w:val="000000"/>
            <w:sz w:val="24"/>
            <w:szCs w:val="24"/>
          </w:rPr>
          <w:t>ucoz</w:t>
        </w:r>
        <w:r>
          <w:rPr>
            <w:rStyle w:val="char17"/>
            <w:color w:val="000000"/>
            <w:sz w:val="24"/>
            <w:szCs w:val="24"/>
          </w:rPr>
          <w:t>.</w:t>
        </w:r>
        <w:r>
          <w:rPr>
            <w:rStyle w:val="char17"/>
            <w:color w:val="000000"/>
            <w:sz w:val="24"/>
            <w:szCs w:val="24"/>
          </w:rPr>
          <w:t>ru</w:t>
        </w:r>
        <w:r>
          <w:rPr>
            <w:rStyle w:val="char17"/>
            <w:color w:val="000000"/>
            <w:sz w:val="24"/>
            <w:szCs w:val="24"/>
          </w:rPr>
          <w:t>/</w:t>
        </w:r>
      </w:hyperlink>
      <w:r>
        <w:rPr>
          <w:rStyle w:val="char17"/>
          <w:color w:val="000000"/>
          <w:sz w:val="24"/>
          <w:szCs w:val="24"/>
        </w:rPr>
        <w:t>.</w:t>
      </w:r>
      <w:r>
        <w:rPr>
          <w:color w:val="000000"/>
          <w:sz w:val="24"/>
          <w:szCs w:val="24"/>
        </w:rPr>
      </w:r>
    </w:p>
    <w:p>
      <w:pPr>
        <w:ind w:firstLine="709"/>
        <w:spacing/>
        <w:contextualSpacing/>
        <w:jc w:val="both"/>
        <w:widowControl/>
        <w:rPr>
          <w:color w:val="000000"/>
          <w:sz w:val="24"/>
          <w:szCs w:val="24"/>
        </w:rPr>
      </w:pPr>
      <w:r>
        <w:rPr>
          <w:color w:val="000000"/>
          <w:sz w:val="24"/>
          <w:szCs w:val="24"/>
        </w:rPr>
        <w:t xml:space="preserve">МБУК «ЦБС» реализует региональный проект </w:t>
      </w:r>
      <w:r>
        <w:rPr>
          <w:b/>
          <w:bCs/>
          <w:i/>
          <w:iCs/>
          <w:color w:val="000000"/>
          <w:sz w:val="24"/>
          <w:szCs w:val="24"/>
        </w:rPr>
        <w:t>«Электронная библиотека Кузбасса»</w:t>
      </w:r>
      <w:r>
        <w:rPr>
          <w:color w:val="000000"/>
          <w:sz w:val="24"/>
          <w:szCs w:val="24"/>
        </w:rPr>
        <w:t xml:space="preserve">, включающий: «Современное краеведение», «Литературная карта Кузбасса», «Выдающиеся деятели культуры Кемеровской области», «Памятники Кузбасса», «Знаменательные и памятные даты Кемеровской области», «Культурный туризм». </w:t>
      </w:r>
    </w:p>
    <w:p>
      <w:pPr>
        <w:ind w:firstLine="709"/>
        <w:spacing/>
        <w:contextualSpacing/>
        <w:jc w:val="both"/>
        <w:widowControl/>
        <w:rPr>
          <w:color w:val="000000"/>
          <w:sz w:val="24"/>
          <w:szCs w:val="24"/>
        </w:rPr>
      </w:pPr>
      <w:r>
        <w:rPr>
          <w:color w:val="000000"/>
          <w:sz w:val="24"/>
          <w:szCs w:val="24"/>
        </w:rPr>
        <w:t xml:space="preserve">Все библиотеки внедряют </w:t>
      </w:r>
      <w:r>
        <w:rPr>
          <w:color w:val="000000"/>
          <w:sz w:val="24"/>
          <w:szCs w:val="24"/>
          <w:lang w:eastAsia="en-us"/>
        </w:rPr>
        <w:t xml:space="preserve">автоматизированную систему учета пользователей, </w:t>
      </w:r>
      <w:r>
        <w:rPr>
          <w:color w:val="000000"/>
          <w:sz w:val="24"/>
          <w:szCs w:val="24"/>
        </w:rPr>
        <w:t>имеют выход в интернет, подключены к Национальной электронной библиотеке (НЭБ) и Национальной электронной детской библиотеке (НЭДБ).</w:t>
      </w:r>
    </w:p>
    <w:p>
      <w:pPr>
        <w:ind w:firstLine="709"/>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t>В библиотеках МБУК «ЦБС» прошли такие значимые события как:</w:t>
      </w:r>
    </w:p>
    <w:p>
      <w:pPr>
        <w:ind w:firstLine="709"/>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t xml:space="preserve">- всероссийская акция «Читаем детям о Великой Отечественной войне»; </w:t>
      </w:r>
    </w:p>
    <w:p>
      <w:pPr>
        <w:ind w:firstLine="709"/>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t xml:space="preserve">- «Сталинград: 200 минут чтения»; </w:t>
      </w:r>
    </w:p>
    <w:p>
      <w:pPr>
        <w:ind w:firstLine="709"/>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t xml:space="preserve">- всероссийская акция-перекличка «Открывая дверь в библиотеки России»; </w:t>
      </w:r>
    </w:p>
    <w:p>
      <w:pPr>
        <w:ind w:firstLine="709"/>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t xml:space="preserve">- всероссийская Неделя детской книги; </w:t>
      </w:r>
    </w:p>
    <w:p>
      <w:pPr>
        <w:ind w:firstLine="709"/>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t>Мероприятия региональных проектов, посвящённых 80-летию Победы:</w:t>
      </w:r>
    </w:p>
    <w:p>
      <w:pPr>
        <w:ind w:firstLine="709"/>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t>- Новое прочтение; книги о войне;</w:t>
      </w:r>
    </w:p>
    <w:p>
      <w:pPr>
        <w:ind w:firstLine="709"/>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t>- Семейная хроника войны;</w:t>
      </w:r>
    </w:p>
    <w:p>
      <w:pPr>
        <w:ind w:firstLine="709"/>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t>- 80 дней до Победы. По страницам местной печати.</w:t>
      </w:r>
    </w:p>
    <w:p>
      <w:pPr>
        <w:pStyle w:val="para91"/>
        <w:numPr>
          <w:ilvl w:val="0"/>
          <w:numId w:val="3"/>
        </w:numPr>
        <w:ind w:left="0" w:firstLine="709"/>
        <w:spacing w:after="0" w:line="24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cs="Times New Roman"/>
          <w:color w:val="000000"/>
          <w:sz w:val="24"/>
          <w:szCs w:val="24"/>
        </w:rPr>
      </w:pPr>
      <w:r>
        <w:rPr>
          <w:rFonts w:ascii="Times New Roman" w:hAnsi="Times New Roman" w:cs="Times New Roman"/>
          <w:color w:val="000000"/>
          <w:sz w:val="24"/>
          <w:szCs w:val="24"/>
        </w:rPr>
        <w:t>Мероприятия региональной Недели детской книги:</w:t>
      </w:r>
    </w:p>
    <w:p>
      <w:pPr>
        <w:pStyle w:val="para91"/>
        <w:numPr>
          <w:ilvl w:val="0"/>
          <w:numId w:val="3"/>
        </w:numPr>
        <w:ind w:left="0" w:firstLine="709"/>
        <w:spacing w:after="0" w:line="24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cs="Times New Roman"/>
          <w:color w:val="000000"/>
          <w:sz w:val="24"/>
          <w:szCs w:val="24"/>
        </w:rPr>
      </w:pPr>
      <w:r>
        <w:rPr>
          <w:rFonts w:ascii="Times New Roman" w:hAnsi="Times New Roman" w:cs="Times New Roman"/>
          <w:color w:val="000000"/>
          <w:sz w:val="24"/>
          <w:szCs w:val="24"/>
        </w:rPr>
        <w:t>Библиотеки стали площадками муниципальных этапов всероссийских конкурсов «Страница 2025», «Живая классика», 2 заочного этапа всероссийской олимпиады «Символы России».</w:t>
      </w:r>
    </w:p>
    <w:p>
      <w:pPr>
        <w:pStyle w:val="para91"/>
        <w:numPr>
          <w:ilvl w:val="0"/>
          <w:numId w:val="3"/>
        </w:numPr>
        <w:ind w:left="0" w:firstLine="709"/>
        <w:spacing w:after="0" w:line="24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cs="Times New Roman"/>
          <w:color w:val="000000"/>
          <w:sz w:val="24"/>
          <w:szCs w:val="24"/>
        </w:rPr>
      </w:pPr>
      <w:r>
        <w:rPr>
          <w:rFonts w:ascii="Times New Roman" w:hAnsi="Times New Roman" w:cs="Times New Roman"/>
          <w:color w:val="000000"/>
          <w:sz w:val="24"/>
          <w:szCs w:val="24"/>
        </w:rPr>
        <w:t>Библиотекарь Центральной библиотеки предоставила опыт работы  на Международный конкурс «Лучшие практики библиотек по сохранению исторической памяти о героях ВОВ» (РГБ).</w:t>
      </w:r>
    </w:p>
    <w:p>
      <w:pPr>
        <w:pStyle w:val="para91"/>
        <w:numPr>
          <w:ilvl w:val="0"/>
          <w:numId w:val="3"/>
        </w:numPr>
        <w:ind w:left="0" w:firstLine="709"/>
        <w:spacing w:after="0" w:line="24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cs="Times New Roman"/>
          <w:color w:val="000000"/>
          <w:sz w:val="24"/>
          <w:szCs w:val="24"/>
        </w:rPr>
      </w:pPr>
      <w:r>
        <w:rPr>
          <w:rFonts w:ascii="Times New Roman" w:hAnsi="Times New Roman" w:cs="Times New Roman"/>
          <w:color w:val="000000"/>
          <w:sz w:val="24"/>
          <w:szCs w:val="24"/>
        </w:rPr>
        <w:t>Библиотекари МБУК «ЦБС» приняли участие во 2-м основном грантовом конкурсе ПФКИ с проектом «Мультстудия «Фронтовая анимация».</w:t>
      </w:r>
    </w:p>
    <w:p>
      <w:pPr>
        <w:numPr>
          <w:ilvl w:val="0"/>
          <w:numId w:val="3"/>
        </w:numPr>
        <w:ind w:left="0" w:firstLine="709"/>
        <w:spacing/>
        <w:jc w:val="both"/>
        <w:rPr>
          <w:color w:val="000000"/>
          <w:sz w:val="24"/>
          <w:szCs w:val="24"/>
        </w:rPr>
      </w:pPr>
      <w:r>
        <w:rPr>
          <w:color w:val="000000"/>
          <w:sz w:val="24"/>
          <w:szCs w:val="24"/>
        </w:rPr>
        <w:t>Опыт работы по патриотическому воспитанию «Славе – не меркнуть! Традициям – жить!» включен в электронный сборник Всероссийского  семинара-практикума «Ценности нации: о роли патриотического воспитания в библиотеке», секция «Роль библиотек в патриотическом воспитании».</w:t>
      </w:r>
    </w:p>
    <w:p>
      <w:pPr>
        <w:ind w:firstLine="708"/>
        <w:spacing/>
        <w:jc w:val="both"/>
        <w:rPr>
          <w:color w:val="000000"/>
          <w:sz w:val="24"/>
          <w:szCs w:val="24"/>
        </w:rPr>
      </w:pPr>
      <w:r>
        <w:rPr>
          <w:color w:val="000000"/>
          <w:sz w:val="24"/>
          <w:szCs w:val="24"/>
        </w:rPr>
        <w:t>Обобщенный опыт работы МБУК «ЦБС» по краеведческому просвещению включен в электронный сборник «Лучшие библиотечные практики России».</w:t>
      </w:r>
    </w:p>
    <w:p>
      <w:pPr>
        <w:ind w:firstLine="708"/>
        <w:spacing/>
        <w:jc w:val="both"/>
        <w:rPr>
          <w:color w:val="000000"/>
          <w:sz w:val="24"/>
          <w:szCs w:val="24"/>
        </w:rPr>
      </w:pPr>
      <w:r>
        <w:rPr>
          <w:color w:val="000000"/>
          <w:sz w:val="24"/>
          <w:szCs w:val="24"/>
        </w:rPr>
        <w:t xml:space="preserve">Читательница детского отдела Центральной библиотеки стала финалистом очного тура 9-го всероссийского конкурса «История местного самоуправления моего края» (г. Москва Общественная палата Российской Федерации, Всероссийская ассоциация развития местного самоуправления, Институт развития местных сообществ, Институт российской истории Российской академии наук). </w:t>
      </w:r>
    </w:p>
    <w:p>
      <w:pPr>
        <w:ind w:firstLine="708"/>
        <w:spacing/>
        <w:jc w:val="both"/>
        <w:rPr>
          <w:color w:val="000000"/>
          <w:sz w:val="24"/>
          <w:szCs w:val="24"/>
        </w:rPr>
      </w:pPr>
      <w:r>
        <w:rPr>
          <w:color w:val="000000"/>
          <w:sz w:val="24"/>
          <w:szCs w:val="24"/>
        </w:rPr>
        <w:t>Читатели детского отдела Центральной библиотеки заняли 3 место в Региональном онлайн-конкурсе чтецов «Защитникам Отечества посвящается».</w:t>
      </w:r>
    </w:p>
    <w:p>
      <w:pPr>
        <w:pStyle w:val="para91"/>
        <w:numPr>
          <w:ilvl w:val="0"/>
          <w:numId w:val="3"/>
        </w:numPr>
        <w:ind w:left="0" w:firstLine="709"/>
        <w:spacing w:after="0" w:line="24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cs="Times New Roman"/>
          <w:color w:val="000000"/>
          <w:sz w:val="24"/>
          <w:szCs w:val="24"/>
        </w:rPr>
      </w:pPr>
      <w:r>
        <w:rPr>
          <w:rFonts w:ascii="Times New Roman" w:hAnsi="Times New Roman" w:cs="Times New Roman"/>
          <w:color w:val="000000"/>
          <w:sz w:val="24"/>
          <w:szCs w:val="24"/>
        </w:rPr>
      </w:r>
    </w:p>
    <w:p>
      <w:pPr>
        <w:pStyle w:val="para91"/>
        <w:numPr>
          <w:ilvl w:val="0"/>
          <w:numId w:val="3"/>
        </w:numPr>
        <w:ind w:left="0" w:firstLine="709"/>
        <w:spacing w:after="0" w:line="24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cs="Times New Roman"/>
          <w:color w:val="000000"/>
          <w:sz w:val="24"/>
          <w:szCs w:val="24"/>
        </w:rPr>
      </w:pPr>
      <w:r>
        <w:rPr>
          <w:rFonts w:ascii="Times New Roman" w:hAnsi="Times New Roman" w:cs="Times New Roman"/>
          <w:color w:val="000000"/>
          <w:sz w:val="24"/>
          <w:szCs w:val="24"/>
        </w:rPr>
      </w:r>
    </w:p>
    <w:p>
      <w:pPr>
        <w:ind w:firstLine="708"/>
        <w:spacing/>
        <w:jc w:val="center"/>
        <w:rPr>
          <w:b/>
          <w:bCs/>
          <w:color w:val="000000"/>
          <w:sz w:val="24"/>
          <w:szCs w:val="24"/>
          <w:u w:color="auto" w:val="single"/>
        </w:rPr>
      </w:pPr>
      <w:r>
        <w:rPr>
          <w:b/>
          <w:bCs/>
          <w:color w:val="000000"/>
          <w:sz w:val="24"/>
          <w:szCs w:val="24"/>
          <w:u w:color="auto" w:val="single"/>
        </w:rPr>
        <w:t>Работа Дворцов культуры и клубов</w:t>
      </w:r>
    </w:p>
    <w:p>
      <w:pPr>
        <w:ind w:firstLine="624"/>
        <w:spacing/>
        <w:jc w:val="both"/>
        <w:rPr>
          <w:color w:val="000000"/>
          <w:sz w:val="24"/>
          <w:szCs w:val="24"/>
        </w:rPr>
      </w:pPr>
      <w:r>
        <w:rPr>
          <w:color w:val="000000"/>
          <w:sz w:val="24"/>
          <w:szCs w:val="24"/>
        </w:rPr>
        <w:t xml:space="preserve">В 2025 году в учреждениях культуры действовало </w:t>
      </w:r>
      <w:r>
        <w:rPr>
          <w:b/>
          <w:color w:val="000000"/>
          <w:sz w:val="24"/>
          <w:szCs w:val="24"/>
        </w:rPr>
        <w:t>182 клубных формирований</w:t>
      </w:r>
      <w:r>
        <w:rPr>
          <w:color w:val="000000"/>
          <w:sz w:val="24"/>
          <w:szCs w:val="24"/>
        </w:rPr>
        <w:t xml:space="preserve">, являющихся неотъемлемым компонентом культурной среды городского округа. В общем числе коллективов </w:t>
      </w:r>
      <w:r>
        <w:rPr>
          <w:b/>
          <w:color w:val="000000"/>
          <w:sz w:val="24"/>
          <w:szCs w:val="24"/>
        </w:rPr>
        <w:t xml:space="preserve">- 12 «народных» и «образцовых» </w:t>
      </w:r>
      <w:r>
        <w:rPr>
          <w:color w:val="000000"/>
          <w:sz w:val="24"/>
          <w:szCs w:val="24"/>
        </w:rPr>
        <w:t>коллективов. Общее количество участников в клубных формированиях составило – 5207 человека.</w:t>
      </w:r>
      <w:r>
        <w:rPr>
          <w:color w:val="000000"/>
          <w:sz w:val="24"/>
          <w:szCs w:val="24"/>
        </w:rPr>
      </w:r>
    </w:p>
    <w:p>
      <w:pPr>
        <w:ind w:firstLine="720"/>
        <w:spacing/>
        <w:jc w:val="both"/>
        <w:rPr>
          <w:color w:val="000000"/>
          <w:sz w:val="24"/>
          <w:szCs w:val="24"/>
        </w:rPr>
      </w:pPr>
      <w:r>
        <w:rPr>
          <w:color w:val="000000"/>
          <w:sz w:val="24"/>
          <w:szCs w:val="24"/>
        </w:rPr>
        <w:t xml:space="preserve">В 2025 году учреждениями культуры клубного типа проведено 3050 мероприятий, которые посетило 1390860 человек, в том числе 4 мероприятия антинаркотической направленности, которые посетило 2046 человек. </w:t>
      </w:r>
    </w:p>
    <w:p>
      <w:pPr>
        <w:ind w:firstLine="709"/>
        <w: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rPr>
      </w:pPr>
      <w:r>
        <w:rPr>
          <w:color w:val="000000"/>
          <w:sz w:val="24"/>
          <w:szCs w:val="24"/>
        </w:rPr>
        <w:t>Наиболее значимые мероприятия в отчётный период:</w:t>
      </w:r>
    </w:p>
    <w:p>
      <w:pPr>
        <w:ind w:firstLine="709"/>
        <w: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rPr>
      </w:pPr>
      <w:r>
        <w:rPr>
          <w:color w:val="000000"/>
          <w:sz w:val="24"/>
          <w:szCs w:val="24"/>
        </w:rPr>
        <w:t xml:space="preserve">-открытие Года защитника Отечества; </w:t>
      </w:r>
    </w:p>
    <w:p>
      <w:pPr>
        <w:ind w:firstLine="709"/>
        <w: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rPr>
      </w:pPr>
      <w:r>
        <w:rPr>
          <w:color w:val="000000"/>
          <w:sz w:val="24"/>
          <w:szCs w:val="24"/>
        </w:rPr>
        <w:t xml:space="preserve">-всероссийская акция «Блокадный хлеб», час памяти, посвящённый Дню полного освобождения Ленинграда от фашистской блокады; </w:t>
      </w:r>
    </w:p>
    <w:p>
      <w:pPr>
        <w:ind w:firstLine="709"/>
        <w: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rPr>
      </w:pPr>
      <w:r>
        <w:rPr>
          <w:color w:val="000000"/>
          <w:sz w:val="24"/>
          <w:szCs w:val="24"/>
        </w:rPr>
        <w:t>-час памяти, посвящённый  выводу советских войск из Афганистана;</w:t>
      </w:r>
    </w:p>
    <w:p>
      <w:pPr>
        <w:ind w:firstLine="709"/>
        <w: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shd w:val="clear" w:fill="ffffff"/>
        </w:rPr>
      </w:pPr>
      <w:r>
        <w:rPr>
          <w:color w:val="000000"/>
          <w:sz w:val="24"/>
          <w:szCs w:val="24"/>
        </w:rPr>
        <w:t>- фестиваль-конкурс православной культуры «Благовест»</w:t>
      </w:r>
      <w:r>
        <w:rPr>
          <w:color w:val="000000"/>
          <w:sz w:val="24"/>
          <w:szCs w:val="24"/>
          <w:shd w:val="clear" w:fill="ffffff"/>
        </w:rPr>
        <w:t xml:space="preserve">, </w:t>
      </w:r>
      <w:r>
        <w:rPr>
          <w:color w:val="000000"/>
          <w:sz w:val="24"/>
          <w:szCs w:val="24"/>
          <w:shd w:val="clear" w:fill="ffffff"/>
        </w:rPr>
      </w:r>
    </w:p>
    <w:p>
      <w:pPr>
        <w:ind w:firstLine="709"/>
        <w: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rPr>
      </w:pPr>
      <w:r>
        <w:rPr>
          <w:color w:val="000000"/>
          <w:sz w:val="24"/>
          <w:szCs w:val="24"/>
          <w:shd w:val="clear" w:fill="ffffff"/>
        </w:rPr>
        <w:t xml:space="preserve">- межрегиональный патриотический проект «Красный обоз»,  </w:t>
      </w:r>
      <w:r>
        <w:rPr>
          <w:color w:val="000000"/>
          <w:sz w:val="24"/>
          <w:szCs w:val="24"/>
        </w:rPr>
      </w:r>
    </w:p>
    <w:p>
      <w:pPr>
        <w:ind w:firstLine="709"/>
        <w: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rPr>
      </w:pPr>
      <w:r>
        <w:rPr>
          <w:color w:val="000000"/>
          <w:sz w:val="24"/>
          <w:szCs w:val="24"/>
        </w:rPr>
        <w:t>-молодёжный военно-патриотический фестиваль «Виват, Виктория!».</w:t>
      </w:r>
    </w:p>
    <w:p>
      <w:pPr>
        <w:ind w:firstLine="709"/>
        <w: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rPr>
      </w:pPr>
      <w:r>
        <w:rPr>
          <w:color w:val="000000"/>
          <w:sz w:val="24"/>
          <w:szCs w:val="24"/>
        </w:rPr>
        <w:t>-праздничные программы, посвящённые Дню защитника Отечества, международному женскому дню, Дню Победы в ВОВ, Дню России, часы памяти, посвящённые Дню защитника Отчества, Дню Победы в ВОВ, Дню памяти и скорби, народное гуляние «Масленичный разгуляй», городской тур областного конкурса «Семья. Экология. Культура», фестиваль «Крымская весна»; патриотические акции «В гости к ветерану», «</w:t>
      </w:r>
      <w:r>
        <w:rPr>
          <w:highlight w:val="white"/>
          <w:color w:val="000000"/>
          <w:sz w:val="24"/>
          <w:szCs w:val="24"/>
        </w:rPr>
        <w:t>Бессмертный полк»,</w:t>
      </w:r>
      <w:r>
        <w:rPr>
          <w:color w:val="000000"/>
          <w:sz w:val="24"/>
          <w:szCs w:val="24"/>
        </w:rPr>
        <w:t xml:space="preserve">  «Вальс Победы», «Свеча памяти», «Звезда Победы», «Лучи Победы»; часы памяти, посвящённые Дню полного освобождения Ленинграда от фашистской блокады, выводу советских войск из Афганистана, Дню защитника Отчества Дню Победы,  Дню России, Дню памяти и скорби, Дню Государственного флага РФ, Дню солидарности в борьбе с терроризмом, Дню воссоединения Донбасса и Новороссии с Россией; городской татаро-башкирский праздник «Сабантуй - 2025»; городской фолк-фестиваль «День косоворотки», V Межрегиональный молодежный казачий фестиваль-конкурс «Казачья тайна», городской фестиваль национальных культур «Народов много – Родина одна», IX Всесибирский праздник «Сибирский валенок». </w:t>
      </w:r>
    </w:p>
    <w:p>
      <w:pPr>
        <w:ind w:firstLine="680"/>
        <w:spacing/>
        <w:contextualSpacing/>
        <w:jc w:val="both"/>
        <w:tabs defTabSz="720">
          <w:tab w:val="left" w:pos="680" w:leader="none"/>
        </w:tabs>
        <w:rPr>
          <w:color w:val="000000"/>
          <w:sz w:val="24"/>
          <w:szCs w:val="24"/>
        </w:rPr>
      </w:pPr>
      <w:r>
        <w:rPr>
          <w:color w:val="000000"/>
          <w:sz w:val="24"/>
          <w:szCs w:val="24"/>
        </w:rPr>
        <w:t xml:space="preserve">   </w:t>
      </w:r>
    </w:p>
    <w:p>
      <w:pPr>
        <w:pStyle w:val="para91"/>
        <w:ind w:left="360"/>
        <w:spacing/>
        <w:jc w:val="center"/>
        <w:rPr>
          <w:rFonts w:ascii="Times New Roman" w:hAnsi="Times New Roman" w:cs="Times New Roman"/>
          <w:b/>
          <w:bCs/>
          <w:color w:val="000000"/>
          <w:sz w:val="24"/>
          <w:szCs w:val="24"/>
          <w:u w:color="auto" w:val="single"/>
        </w:rPr>
      </w:pPr>
      <w:r>
        <w:rPr>
          <w:rFonts w:ascii="Times New Roman" w:hAnsi="Times New Roman" w:cs="Times New Roman"/>
          <w:b/>
          <w:bCs/>
          <w:color w:val="000000"/>
          <w:sz w:val="24"/>
          <w:szCs w:val="24"/>
          <w:u w:color="auto" w:val="single"/>
        </w:rPr>
        <w:t>Участие в конкурсах и фестивалях</w:t>
      </w:r>
    </w:p>
    <w:p>
      <w:pPr>
        <w:pStyle w:val="para91"/>
        <w:ind w:left="0" w:firstLine="709"/>
        <w:spacing w:after="0" w:line="240" w:lineRule="auto"/>
        <w:jc w:val="both"/>
        <w:tabs defTabSz="720">
          <w:tab w:val="left" w:pos="1276" w:leader="none"/>
        </w:tabs>
        <w:rPr>
          <w:rFonts w:ascii="Times New Roman" w:hAnsi="Times New Roman" w:cs="Times New Roman"/>
          <w:color w:val="000000"/>
          <w:sz w:val="24"/>
          <w:szCs w:val="24"/>
        </w:rPr>
      </w:pPr>
      <w:r>
        <w:rPr>
          <w:rFonts w:ascii="Times New Roman" w:hAnsi="Times New Roman" w:cs="Times New Roman"/>
          <w:color w:val="000000"/>
          <w:sz w:val="24"/>
          <w:szCs w:val="24"/>
        </w:rPr>
        <w:t>С целью выявления и поддержки талантливых детей и подростков, создания условий для творческого саморазвития и раскрытия таланта проведены городские конкурсы на грант главы Анжеро-Судженского городского округа:</w:t>
      </w:r>
    </w:p>
    <w:p>
      <w:pPr>
        <w:ind w:firstLine="709"/>
        <w:spacing/>
        <w:contextualSpacing/>
        <w:jc w:val="both"/>
        <w:widowControl/>
        <w:tabs defTabSz="708">
          <w:tab w:val="left" w:pos="1276" w:leader="none"/>
        </w:tabs>
        <w:rPr>
          <w:color w:val="000000"/>
          <w:sz w:val="24"/>
          <w:szCs w:val="24"/>
        </w:rPr>
      </w:pPr>
      <w:r>
        <w:rPr>
          <w:color w:val="000000"/>
          <w:sz w:val="24"/>
          <w:szCs w:val="24"/>
        </w:rPr>
        <w:t>-конкурс исполнителей на народных и духовых инструментах «Музыкальный Олимп Кузбасса»,</w:t>
      </w:r>
    </w:p>
    <w:p>
      <w:pPr>
        <w:ind w:firstLine="709"/>
        <w:spacing/>
        <w:contextualSpacing/>
        <w:jc w:val="both"/>
        <w:widowControl/>
        <w:rPr>
          <w:color w:val="000000"/>
          <w:sz w:val="24"/>
          <w:szCs w:val="24"/>
        </w:rPr>
      </w:pPr>
      <w:r>
        <w:rPr>
          <w:color w:val="000000"/>
          <w:sz w:val="24"/>
          <w:szCs w:val="24"/>
        </w:rPr>
        <w:t>-конкурс художественного творчества «Как отцы и деды делали победы»,</w:t>
      </w:r>
    </w:p>
    <w:p>
      <w:pPr>
        <w:ind w:firstLine="709"/>
        <w:spacing/>
        <w:contextualSpacing/>
        <w:jc w:val="both"/>
        <w:widowControl/>
        <w:rPr>
          <w:color w:val="000000"/>
          <w:sz w:val="24"/>
          <w:szCs w:val="24"/>
        </w:rPr>
      </w:pPr>
      <w:r>
        <w:rPr>
          <w:bCs/>
          <w:color w:val="000000"/>
          <w:sz w:val="24"/>
          <w:szCs w:val="24"/>
        </w:rPr>
        <w:t>-</w:t>
      </w:r>
      <w:r>
        <w:rPr>
          <w:color w:val="000000"/>
          <w:sz w:val="24"/>
          <w:szCs w:val="24"/>
        </w:rPr>
        <w:t>вокальный конкурс «Лучший исполнитель эстрадной песни-2025» («Молодой Анжеро-Судженск»),</w:t>
      </w:r>
    </w:p>
    <w:p>
      <w:pPr>
        <w:ind w:firstLine="709"/>
        <w:spacing/>
        <w:contextualSpacing/>
        <w:jc w:val="both"/>
        <w:widowControl/>
        <w:rPr>
          <w:color w:val="000000"/>
          <w:sz w:val="24"/>
          <w:szCs w:val="24"/>
        </w:rPr>
      </w:pPr>
      <w:r>
        <w:rPr>
          <w:color w:val="000000"/>
          <w:sz w:val="24"/>
          <w:szCs w:val="24"/>
        </w:rPr>
        <w:t>-конкурс хореографических коллективов «В движении».</w:t>
      </w:r>
    </w:p>
    <w:p>
      <w:pPr>
        <w:ind w:firstLine="709"/>
        <w:spacing/>
        <w:contextualSpacing/>
        <w:jc w:val="both"/>
        <w:widowControl/>
        <w:rPr>
          <w:color w:val="000000"/>
          <w:sz w:val="24"/>
          <w:szCs w:val="24"/>
        </w:rPr>
      </w:pPr>
      <w:r>
        <w:rPr>
          <w:color w:val="000000"/>
          <w:sz w:val="24"/>
          <w:szCs w:val="24"/>
        </w:rPr>
        <w:t>В 2025 году были выделены средства для вручения муниципальных грантов в сумме 59,9 тыс. рублей по итогам вышеперечисленных городских конкурсов.</w:t>
      </w:r>
    </w:p>
    <w:p>
      <w:pPr>
        <w:ind w:firstLine="709"/>
        <w:spacing/>
        <w:contextualSpacing/>
        <w:jc w:val="both"/>
        <w:widowControl/>
        <w:rPr>
          <w:color w:val="000000"/>
          <w:sz w:val="24"/>
          <w:szCs w:val="24"/>
        </w:rPr>
      </w:pPr>
      <w:r>
        <w:rPr>
          <w:color w:val="000000"/>
          <w:sz w:val="24"/>
          <w:szCs w:val="24"/>
        </w:rPr>
        <w:t>В 2025 году творческие коллективы и работники учреждений культуры приняли участие в 58 фестивалях и конкурсах различных уровней: международных - 19, всероссийских - 11, региональных - 13, муниципальных - 15.</w:t>
      </w:r>
    </w:p>
    <w:p>
      <w:pPr>
        <w:ind w:firstLine="709"/>
        <w:spacing/>
        <w:contextualSpacing/>
        <w:jc w:val="both"/>
        <w:widowControl/>
        <w:rPr>
          <w:bCs/>
          <w:color w:val="000000"/>
          <w:sz w:val="24"/>
          <w:szCs w:val="24"/>
        </w:rPr>
      </w:pPr>
      <w:r>
        <w:rPr>
          <w:color w:val="000000"/>
          <w:sz w:val="24"/>
          <w:szCs w:val="24"/>
        </w:rPr>
        <w:tab/>
      </w:r>
      <w:r>
        <w:rPr>
          <w:bCs/>
          <w:color w:val="000000"/>
          <w:sz w:val="24"/>
          <w:szCs w:val="24"/>
        </w:rPr>
        <w:t>1,</w:t>
      </w:r>
      <w:r>
        <w:rPr>
          <w:color w:val="000000"/>
          <w:sz w:val="24"/>
          <w:szCs w:val="24"/>
        </w:rPr>
        <w:t xml:space="preserve"> Всекузбасский фестиваль-конкурс «Виктория. Песни Победы»</w:t>
      </w:r>
      <w:r>
        <w:rPr>
          <w:bCs/>
          <w:color w:val="000000"/>
          <w:sz w:val="24"/>
          <w:szCs w:val="24"/>
        </w:rPr>
        <w:t>,</w:t>
      </w:r>
      <w:r>
        <w:rPr>
          <w:color w:val="000000"/>
          <w:sz w:val="24"/>
          <w:szCs w:val="24"/>
        </w:rPr>
        <w:t xml:space="preserve"> 3 диплома Лауреата 1 степени</w:t>
      </w:r>
      <w:r>
        <w:rPr>
          <w:bCs/>
          <w:color w:val="000000"/>
          <w:sz w:val="24"/>
          <w:szCs w:val="24"/>
        </w:rPr>
        <w:t>;</w:t>
      </w:r>
      <w:r>
        <w:rPr>
          <w:bCs/>
          <w:color w:val="000000"/>
          <w:sz w:val="24"/>
          <w:szCs w:val="24"/>
        </w:rPr>
      </w:r>
    </w:p>
    <w:p>
      <w:pPr>
        <w:ind w:firstLine="709"/>
        <w:spacing/>
        <w:contextualSpacing/>
        <w:jc w:val="both"/>
        <w:widowControl/>
        <w:rPr>
          <w:bCs/>
          <w:color w:val="000000"/>
          <w:sz w:val="24"/>
          <w:szCs w:val="24"/>
        </w:rPr>
      </w:pPr>
      <w:r>
        <w:rPr>
          <w:bCs/>
          <w:color w:val="000000"/>
          <w:sz w:val="24"/>
          <w:szCs w:val="24"/>
        </w:rPr>
        <w:t xml:space="preserve">2. </w:t>
      </w:r>
      <w:r>
        <w:rPr>
          <w:color w:val="000000"/>
          <w:sz w:val="24"/>
          <w:szCs w:val="24"/>
        </w:rPr>
        <w:t>Региональном фестивале-конкурсе православной культуры «Благовест»</w:t>
      </w:r>
      <w:r>
        <w:rPr>
          <w:bCs/>
          <w:color w:val="000000"/>
          <w:sz w:val="24"/>
          <w:szCs w:val="24"/>
        </w:rPr>
        <w:t xml:space="preserve">, </w:t>
      </w:r>
      <w:r>
        <w:rPr>
          <w:color w:val="000000"/>
          <w:sz w:val="24"/>
          <w:szCs w:val="24"/>
        </w:rPr>
        <w:t>диплом 1 степени</w:t>
      </w:r>
      <w:r>
        <w:rPr>
          <w:bCs/>
          <w:color w:val="000000"/>
          <w:sz w:val="24"/>
          <w:szCs w:val="24"/>
        </w:rPr>
        <w:t>;</w:t>
      </w:r>
      <w:r>
        <w:rPr>
          <w:bCs/>
          <w:color w:val="000000"/>
          <w:sz w:val="24"/>
          <w:szCs w:val="24"/>
        </w:rPr>
      </w:r>
    </w:p>
    <w:p>
      <w:pPr>
        <w:ind w:firstLine="709"/>
        <w:spacing/>
        <w:contextualSpacing/>
        <w:jc w:val="both"/>
        <w:widowControl/>
        <w:rPr>
          <w:bCs/>
          <w:color w:val="000000"/>
          <w:sz w:val="24"/>
          <w:szCs w:val="24"/>
        </w:rPr>
      </w:pPr>
      <w:r>
        <w:rPr>
          <w:bCs/>
          <w:color w:val="000000"/>
          <w:sz w:val="24"/>
          <w:szCs w:val="24"/>
        </w:rPr>
        <w:t>3.</w:t>
      </w:r>
      <w:r>
        <w:rPr>
          <w:color w:val="000000"/>
          <w:sz w:val="24"/>
          <w:szCs w:val="24"/>
        </w:rPr>
        <w:t>Международный фестиваль-конкурс по хореографическому искусству «Антигравитация»</w:t>
      </w:r>
      <w:r>
        <w:rPr>
          <w:bCs/>
          <w:color w:val="000000"/>
          <w:sz w:val="24"/>
          <w:szCs w:val="24"/>
        </w:rPr>
        <w:t>, 2 диплома Лауреата I степени</w:t>
      </w:r>
      <w:r>
        <w:rPr>
          <w:bCs/>
          <w:color w:val="000000"/>
          <w:sz w:val="24"/>
          <w:szCs w:val="24"/>
        </w:rPr>
        <w:t>;</w:t>
      </w:r>
      <w:r>
        <w:rPr>
          <w:bCs/>
          <w:color w:val="000000"/>
          <w:sz w:val="24"/>
          <w:szCs w:val="24"/>
        </w:rPr>
      </w:r>
    </w:p>
    <w:p>
      <w:pPr>
        <w:ind w:firstLine="709"/>
        <w:spacing/>
        <w:contextualSpacing/>
        <w:jc w:val="both"/>
        <w:widowControl/>
        <w:rPr>
          <w:color w:val="000000"/>
          <w:sz w:val="24"/>
          <w:szCs w:val="24"/>
        </w:rPr>
      </w:pPr>
      <w:r>
        <w:rPr>
          <w:bCs/>
          <w:color w:val="000000"/>
          <w:sz w:val="24"/>
          <w:szCs w:val="24"/>
        </w:rPr>
        <w:t xml:space="preserve">4. </w:t>
      </w:r>
      <w:r>
        <w:rPr>
          <w:color w:val="000000"/>
          <w:sz w:val="24"/>
          <w:szCs w:val="24"/>
        </w:rPr>
        <w:t>Городской вокальный конкурс «Лучший исполнитель эстрадной песни - 2025» (Молодой Анжеро-Судженск), гран-при;</w:t>
      </w:r>
    </w:p>
    <w:p>
      <w:pPr>
        <w:ind w:firstLine="709"/>
        <w:spacing/>
        <w:contextualSpacing/>
        <w:jc w:val="both"/>
        <w:widowControl/>
        <w:rPr>
          <w:color w:val="000000"/>
          <w:sz w:val="24"/>
          <w:szCs w:val="24"/>
        </w:rPr>
      </w:pPr>
      <w:r>
        <w:rPr>
          <w:color w:val="000000"/>
          <w:sz w:val="24"/>
          <w:szCs w:val="24"/>
        </w:rPr>
        <w:t>5. Региональный фестиваль-конкурс актерского мастерства «Басня», диплом Лауреата I степени;</w:t>
      </w:r>
    </w:p>
    <w:p>
      <w:pPr>
        <w:ind w:firstLine="709"/>
        <w:spacing/>
        <w:contextualSpacing/>
        <w:jc w:val="both"/>
        <w:widowControl/>
        <w:rPr>
          <w:color w:val="000000"/>
          <w:sz w:val="24"/>
          <w:szCs w:val="24"/>
        </w:rPr>
      </w:pPr>
      <w:r>
        <w:rPr>
          <w:color w:val="000000"/>
          <w:sz w:val="24"/>
          <w:szCs w:val="24"/>
        </w:rPr>
        <w:t>6. Международный  конкурс – фестиваль «Родины сыны», диплом лауреата 1 степени;</w:t>
      </w:r>
    </w:p>
    <w:p>
      <w:pPr>
        <w:ind w:firstLine="709"/>
        <w:spacing/>
        <w:contextualSpacing/>
        <w:jc w:val="both"/>
        <w:widowControl/>
        <w:rPr>
          <w:color w:val="000000"/>
          <w:sz w:val="24"/>
          <w:szCs w:val="24"/>
        </w:rPr>
      </w:pPr>
      <w:r>
        <w:rPr>
          <w:color w:val="000000"/>
          <w:sz w:val="24"/>
          <w:szCs w:val="24"/>
        </w:rPr>
        <w:t>7. Международный фестиваль искусства и творчества «Феникс мира»,  диплом Лауреата 1 степени.</w:t>
      </w:r>
    </w:p>
    <w:p>
      <w:pPr>
        <w:ind w:firstLine="709"/>
        <w:spacing/>
        <w:contextualSpacing/>
        <w:jc w:val="both"/>
        <w:widowControl/>
        <w:rPr>
          <w:bCs/>
          <w:color w:val="000000"/>
          <w:sz w:val="24"/>
          <w:szCs w:val="24"/>
        </w:rPr>
      </w:pPr>
      <w:r>
        <w:rPr>
          <w:color w:val="000000"/>
          <w:sz w:val="24"/>
          <w:szCs w:val="24"/>
        </w:rPr>
        <w:t xml:space="preserve">8. Международный фестиваль по хореографии «Танцевальный Олимп», </w:t>
      </w:r>
      <w:r>
        <w:rPr>
          <w:bCs/>
          <w:color w:val="000000"/>
          <w:sz w:val="24"/>
          <w:szCs w:val="24"/>
        </w:rPr>
        <w:t>2 диплома Лауреата I степени;</w:t>
      </w:r>
      <w:r>
        <w:rPr>
          <w:bCs/>
          <w:color w:val="000000"/>
          <w:sz w:val="24"/>
          <w:szCs w:val="24"/>
        </w:rPr>
      </w:r>
    </w:p>
    <w:p>
      <w:pPr>
        <w:ind w:firstLine="709"/>
        <w:spacing/>
        <w:contextualSpacing/>
        <w:jc w:val="both"/>
        <w:widowControl/>
        <w:rPr>
          <w:bCs/>
          <w:color w:val="000000"/>
          <w:sz w:val="24"/>
          <w:szCs w:val="24"/>
        </w:rPr>
      </w:pPr>
      <w:r>
        <w:rPr>
          <w:bCs/>
          <w:color w:val="000000"/>
          <w:sz w:val="24"/>
          <w:szCs w:val="24"/>
        </w:rPr>
        <w:t xml:space="preserve">9. </w:t>
      </w:r>
      <w:r>
        <w:rPr>
          <w:color w:val="000000"/>
          <w:sz w:val="24"/>
          <w:szCs w:val="24"/>
        </w:rPr>
        <w:t xml:space="preserve">Региональный конкурс «Школьная весна в Кузбассе — 2025», </w:t>
      </w:r>
      <w:r>
        <w:rPr>
          <w:bCs/>
          <w:color w:val="000000"/>
          <w:sz w:val="24"/>
          <w:szCs w:val="24"/>
        </w:rPr>
        <w:t>2 диплома Лауреата I степени;</w:t>
      </w:r>
      <w:r>
        <w:rPr>
          <w:bCs/>
          <w:color w:val="000000"/>
          <w:sz w:val="24"/>
          <w:szCs w:val="24"/>
        </w:rPr>
      </w:r>
    </w:p>
    <w:p>
      <w:pPr>
        <w:ind w:firstLine="709"/>
        <w:spacing/>
        <w:contextualSpacing/>
        <w:jc w:val="both"/>
        <w:widowControl/>
        <w:rPr>
          <w:bCs/>
          <w:color w:val="000000"/>
          <w:sz w:val="24"/>
          <w:szCs w:val="24"/>
        </w:rPr>
      </w:pPr>
      <w:r>
        <w:rPr>
          <w:bCs/>
          <w:color w:val="000000"/>
          <w:sz w:val="24"/>
          <w:szCs w:val="24"/>
        </w:rPr>
        <w:t xml:space="preserve">10. </w:t>
      </w:r>
      <w:r>
        <w:rPr>
          <w:color w:val="000000"/>
          <w:sz w:val="24"/>
          <w:szCs w:val="24"/>
        </w:rPr>
        <w:t xml:space="preserve">XIV Открытый городской фестиваль «Казачий бал», </w:t>
      </w:r>
      <w:r>
        <w:rPr>
          <w:bCs/>
          <w:color w:val="000000"/>
          <w:sz w:val="24"/>
          <w:szCs w:val="24"/>
        </w:rPr>
        <w:t>2 диплома Лауреата I степени;</w:t>
      </w:r>
      <w:r>
        <w:rPr>
          <w:bCs/>
          <w:color w:val="000000"/>
          <w:sz w:val="24"/>
          <w:szCs w:val="24"/>
        </w:rPr>
      </w:r>
    </w:p>
    <w:p>
      <w:pPr>
        <w:ind w:firstLine="709"/>
        <w:spacing/>
        <w:contextualSpacing/>
        <w:jc w:val="both"/>
        <w:widowControl/>
        <w:rPr>
          <w:color w:val="000000"/>
          <w:sz w:val="24"/>
          <w:szCs w:val="24"/>
        </w:rPr>
      </w:pPr>
      <w:r>
        <w:rPr>
          <w:bCs/>
          <w:color w:val="000000"/>
          <w:sz w:val="24"/>
          <w:szCs w:val="24"/>
        </w:rPr>
        <w:t xml:space="preserve">11. </w:t>
      </w:r>
      <w:r>
        <w:rPr>
          <w:color w:val="000000"/>
          <w:sz w:val="24"/>
          <w:szCs w:val="24"/>
          <w:lang w:val="en-us"/>
        </w:rPr>
        <w:t>XII</w:t>
      </w:r>
      <w:r>
        <w:rPr>
          <w:color w:val="000000"/>
          <w:sz w:val="24"/>
          <w:szCs w:val="24"/>
        </w:rPr>
        <w:t xml:space="preserve"> Межрегиональный фестиваль-конкурс казачьей культуры «Кузнецкая вольница», диплом лауреата </w:t>
      </w:r>
      <w:r>
        <w:rPr>
          <w:color w:val="000000"/>
          <w:sz w:val="24"/>
          <w:szCs w:val="24"/>
          <w:lang w:val="en-us"/>
        </w:rPr>
        <w:t>II</w:t>
      </w:r>
      <w:r>
        <w:rPr>
          <w:color w:val="000000"/>
          <w:sz w:val="24"/>
          <w:szCs w:val="24"/>
        </w:rPr>
        <w:t xml:space="preserve"> степени получил народный самодеятельный коллектив, хор казачьей песни «Раздолье»;</w:t>
      </w:r>
      <w:r>
        <w:rPr>
          <w:color w:val="000000"/>
          <w:sz w:val="24"/>
          <w:szCs w:val="24"/>
        </w:rPr>
      </w:r>
    </w:p>
    <w:p>
      <w:pPr>
        <w:ind w:firstLine="709"/>
        <w:spacing/>
        <w:contextualSpacing/>
        <w:jc w:val="both"/>
        <w:widowControl/>
        <w:rPr>
          <w:bCs/>
          <w:color w:val="000000"/>
          <w:sz w:val="24"/>
          <w:szCs w:val="24"/>
        </w:rPr>
      </w:pPr>
      <w:r>
        <w:rPr>
          <w:color w:val="000000"/>
          <w:sz w:val="24"/>
          <w:szCs w:val="24"/>
        </w:rPr>
        <w:t xml:space="preserve">12. </w:t>
      </w:r>
      <w:r>
        <w:rPr>
          <w:color w:val="000000"/>
          <w:sz w:val="24"/>
          <w:szCs w:val="24"/>
          <w:lang w:eastAsia="en-us"/>
        </w:rPr>
        <w:t xml:space="preserve">Всекузбасского фестиваля-конкурса «Виктория. Песни Победы», </w:t>
      </w:r>
      <w:r>
        <w:rPr>
          <w:bCs/>
          <w:color w:val="000000"/>
          <w:sz w:val="24"/>
          <w:szCs w:val="24"/>
        </w:rPr>
        <w:t>диплом Лауреата I степени;</w:t>
      </w:r>
      <w:r>
        <w:rPr>
          <w:bCs/>
          <w:color w:val="000000"/>
          <w:sz w:val="24"/>
          <w:szCs w:val="24"/>
        </w:rPr>
      </w:r>
    </w:p>
    <w:p>
      <w:pPr>
        <w:ind w:firstLine="709"/>
        <w:spacing/>
        <w:contextualSpacing/>
        <w:jc w:val="both"/>
        <w:widowControl/>
        <w:rPr>
          <w:bCs/>
          <w:color w:val="000000"/>
          <w:sz w:val="24"/>
          <w:szCs w:val="24"/>
        </w:rPr>
      </w:pPr>
      <w:r>
        <w:rPr>
          <w:bCs/>
          <w:color w:val="000000"/>
          <w:sz w:val="24"/>
          <w:szCs w:val="24"/>
        </w:rPr>
        <w:t xml:space="preserve">13. </w:t>
      </w:r>
      <w:r>
        <w:rPr>
          <w:color w:val="000000"/>
          <w:sz w:val="24"/>
          <w:szCs w:val="24"/>
        </w:rPr>
        <w:t xml:space="preserve">X Всероссийского конкурса творческих проектов «Грани мастерства» в направлении «Мастерство сценариста. Профессиональный проект», </w:t>
      </w:r>
      <w:r>
        <w:rPr>
          <w:bCs/>
          <w:color w:val="000000"/>
          <w:sz w:val="24"/>
          <w:szCs w:val="24"/>
        </w:rPr>
        <w:t>диплом Лауреата I степени.</w:t>
      </w:r>
      <w:r>
        <w:rPr>
          <w:bCs/>
          <w:color w:val="000000"/>
          <w:sz w:val="24"/>
          <w:szCs w:val="24"/>
        </w:rPr>
      </w:r>
    </w:p>
    <w:p>
      <w:pPr>
        <w:ind w:firstLine="720"/>
        <w:spacing/>
        <w:jc w:val="both"/>
        <w:rPr>
          <w:color w:val="000000"/>
          <w:sz w:val="24"/>
          <w:szCs w:val="24"/>
        </w:rPr>
      </w:pPr>
      <w:r>
        <w:rPr>
          <w:color w:val="000000"/>
          <w:sz w:val="24"/>
          <w:szCs w:val="24"/>
        </w:rPr>
        <w:t>14. Региональный патриотический этнокультурный проект «Знай наших», диплом Лауреата I степени  в номинации «Слово о Родине, слово о матери, слово о сынах защитниках – гордо звучит на всех языках»;</w:t>
      </w:r>
    </w:p>
    <w:p>
      <w:pPr>
        <w:ind w:firstLine="720"/>
        <w:spacing/>
        <w:jc w:val="both"/>
        <w:rPr>
          <w:color w:val="000000"/>
          <w:sz w:val="24"/>
          <w:szCs w:val="24"/>
        </w:rPr>
      </w:pPr>
      <w:r>
        <w:rPr>
          <w:color w:val="000000"/>
          <w:sz w:val="24"/>
          <w:szCs w:val="24"/>
        </w:rPr>
        <w:t>15. Региональный этнокультурный проект «В единстве наша сила!10 лет вместе!», диплом Лауреата II степени в номинации «Конкурс гармонистов, баянистов «Татар моннары»;</w:t>
      </w:r>
    </w:p>
    <w:p>
      <w:pPr>
        <w:ind w:firstLine="720"/>
        <w:spacing/>
        <w:jc w:val="both"/>
        <w:rPr>
          <w:color w:val="000000"/>
          <w:sz w:val="24"/>
          <w:szCs w:val="24"/>
        </w:rPr>
      </w:pPr>
      <w:r>
        <w:rPr>
          <w:color w:val="000000"/>
          <w:sz w:val="24"/>
          <w:szCs w:val="24"/>
        </w:rPr>
        <w:t>16. Международный конкурс-фестиваль, при поддержке профильных региональных и федеральных министерств культуры и образования «Живое слово», 5 диплома Лауреат II степени;</w:t>
      </w:r>
    </w:p>
    <w:p>
      <w:pPr>
        <w:ind w:firstLine="720"/>
        <w:spacing/>
        <w:jc w:val="both"/>
        <w:rPr>
          <w:color w:val="000000"/>
          <w:sz w:val="24"/>
          <w:szCs w:val="24"/>
        </w:rPr>
      </w:pPr>
      <w:r>
        <w:rPr>
          <w:color w:val="000000"/>
          <w:sz w:val="24"/>
          <w:szCs w:val="24"/>
        </w:rPr>
        <w:t>17. Всероссийский многожанровый конкурс «Каскад талантов — 2025», 4 диплома Лауреата I степени;</w:t>
      </w:r>
    </w:p>
    <w:p>
      <w:pPr>
        <w:ind w:firstLine="720"/>
        <w:spacing/>
        <w:jc w:val="both"/>
        <w:rPr>
          <w:color w:val="000000"/>
          <w:sz w:val="24"/>
          <w:szCs w:val="24"/>
        </w:rPr>
      </w:pPr>
      <w:r>
        <w:rPr>
          <w:color w:val="000000"/>
          <w:sz w:val="24"/>
          <w:szCs w:val="24"/>
        </w:rPr>
        <w:t>18. VI Открытый региональный фестиваль-конкурс казачьей культуры «Казачий спас», 2 диплома Лауреата;</w:t>
      </w:r>
    </w:p>
    <w:p>
      <w:pPr>
        <w:ind w:firstLine="720"/>
        <w:spacing/>
        <w:jc w:val="both"/>
        <w:rPr>
          <w:color w:val="000000"/>
          <w:sz w:val="24"/>
          <w:szCs w:val="24"/>
        </w:rPr>
      </w:pPr>
      <w:r>
        <w:rPr>
          <w:color w:val="000000"/>
          <w:sz w:val="24"/>
          <w:szCs w:val="24"/>
        </w:rPr>
        <w:t>19. VIII Международный фестиваль-конкурс искусств «Новые таланты», 2 диплома Лауреата I степени;</w:t>
      </w:r>
    </w:p>
    <w:p>
      <w:pPr>
        <w:ind w:firstLine="720"/>
        <w:spacing/>
        <w:contextualSpacing/>
        <w:jc w:val="both"/>
        <w:rPr>
          <w:color w:val="000000"/>
          <w:sz w:val="24"/>
          <w:szCs w:val="24"/>
        </w:rPr>
      </w:pPr>
      <w:r>
        <w:rPr>
          <w:color w:val="000000"/>
          <w:sz w:val="24"/>
          <w:szCs w:val="24"/>
        </w:rPr>
        <w:t xml:space="preserve">20. Всероссийский многожанровый конкурс «Грани искусства», дипломы 1, 2 степеней. </w:t>
      </w:r>
    </w:p>
    <w:p>
      <w:pPr>
        <w:ind w:firstLine="709"/>
        <w:spacing/>
        <w:contextualSpacing/>
        <w:jc w:val="both"/>
        <w:widowControl/>
        <w:rPr>
          <w:bCs/>
          <w:color w:val="000000"/>
          <w:sz w:val="24"/>
          <w:szCs w:val="24"/>
        </w:rPr>
      </w:pPr>
      <w:r>
        <w:rPr>
          <w:bCs/>
          <w:color w:val="000000"/>
          <w:sz w:val="24"/>
          <w:szCs w:val="24"/>
        </w:rPr>
      </w:r>
    </w:p>
    <w:p>
      <w:pPr>
        <w:spacing/>
        <w:jc w:val="center"/>
        <w:tabs defTabSz="720">
          <w:tab w:val="left" w:pos="1260" w:leader="none"/>
        </w:tabs>
        <w:rPr>
          <w:b/>
          <w:bCs/>
          <w:color w:val="000000"/>
          <w:sz w:val="24"/>
          <w:szCs w:val="24"/>
          <w:u w:color="auto" w:val="single"/>
        </w:rPr>
      </w:pPr>
      <w:r>
        <w:rPr>
          <w:b/>
          <w:bCs/>
          <w:color w:val="000000"/>
          <w:sz w:val="24"/>
          <w:szCs w:val="24"/>
          <w:u w:color="auto" w:val="single"/>
        </w:rPr>
        <w:t>Информационная деятельность учреждений культуры</w:t>
      </w:r>
    </w:p>
    <w:p>
      <w:pPr>
        <w:ind w:firstLine="708"/>
        <w:spacing/>
        <w:jc w:val="both"/>
        <w:rPr>
          <w:color w:val="000000"/>
          <w:sz w:val="24"/>
          <w:szCs w:val="24"/>
        </w:rPr>
      </w:pPr>
      <w:r>
        <w:rPr>
          <w:color w:val="000000"/>
          <w:sz w:val="24"/>
          <w:szCs w:val="24"/>
        </w:rPr>
        <w:t xml:space="preserve">Учреждения культуры продолжают работу в направлении информатизации и развития электронных услуг. Функционируют официальные сайты всех учреждений культуры, которые обеспечивают свободный доступ пользователей к информации, услугам, предоставляемым населению, содержит информацию о коллективах и проводимых мероприятиях. Деятельность учреждений культуры городского округа освещается в городских средствах массовой информации, областных СМИ, на официальном сайте Анжеро-Судженска, областном сайте «Культура Кузбасса», федеральном сайте министерства культуры, платформе «Кузбасс Онлайн», сайтах учреждений культуры. Управлением культуры ежемесячно проводится мониторинг средств массовой информации на предмет наличия материалов культурной тематики. Еженедельно на страницах газеты «Наш город» публикуют афишу предстоящих на следующей неделе культурных мероприятий в городском округе. </w:t>
      </w:r>
    </w:p>
    <w:p>
      <w:pPr>
        <w:ind w:firstLine="708"/>
        <w:spacing/>
        <w:jc w:val="both"/>
        <w:rPr>
          <w:color w:val="000000"/>
          <w:sz w:val="24"/>
          <w:szCs w:val="24"/>
        </w:rPr>
      </w:pPr>
      <w:r>
        <w:rPr>
          <w:color w:val="000000"/>
          <w:sz w:val="24"/>
          <w:szCs w:val="24"/>
        </w:rPr>
        <w:t xml:space="preserve">В эфире Анжерского телевидения за 2025 год вышло </w:t>
      </w:r>
      <w:r>
        <w:rPr>
          <w:highlight w:val="white"/>
          <w:color w:val="000000"/>
          <w:sz w:val="24"/>
          <w:szCs w:val="24"/>
        </w:rPr>
        <w:t xml:space="preserve">277 </w:t>
      </w:r>
      <w:r>
        <w:rPr>
          <w:color w:val="000000"/>
          <w:sz w:val="24"/>
          <w:szCs w:val="24"/>
        </w:rPr>
        <w:t xml:space="preserve">сюжета, в печатных изданиях – 137 публикаций, </w:t>
      </w:r>
      <w:r>
        <w:rPr>
          <w:highlight w:val="white"/>
          <w:color w:val="000000"/>
          <w:sz w:val="24"/>
          <w:szCs w:val="24"/>
        </w:rPr>
        <w:t>на сайтах учреждений – 2742, в социальных сетях (Вк,</w:t>
      </w:r>
      <w:r>
        <w:rPr>
          <w:color w:val="000000"/>
          <w:sz w:val="24"/>
          <w:szCs w:val="24"/>
        </w:rPr>
        <w:t xml:space="preserve"> </w:t>
      </w:r>
      <w:r>
        <w:rPr>
          <w:highlight w:val="white"/>
          <w:color w:val="000000"/>
          <w:sz w:val="24"/>
          <w:szCs w:val="24"/>
        </w:rPr>
        <w:t>ОК и другие) – 8792.</w:t>
      </w:r>
      <w:r>
        <w:rPr>
          <w:color w:val="000000"/>
          <w:sz w:val="24"/>
          <w:szCs w:val="24"/>
        </w:rPr>
      </w:r>
    </w:p>
    <w:p>
      <w:pPr>
        <w:ind w:firstLine="708"/>
        <w:spacing/>
        <w:jc w:val="center"/>
        <w:rPr>
          <w:b/>
          <w:bCs/>
          <w:color w:val="000000"/>
          <w:sz w:val="24"/>
          <w:szCs w:val="24"/>
          <w:u w:color="auto" w:val="single"/>
        </w:rPr>
      </w:pPr>
      <w:r>
        <w:rPr>
          <w:b/>
          <w:bCs/>
          <w:color w:val="000000"/>
          <w:sz w:val="24"/>
          <w:szCs w:val="24"/>
          <w:u w:color="auto" w:val="single"/>
        </w:rPr>
        <w:t>Реализация национального проекта «Культура»</w:t>
      </w:r>
    </w:p>
    <w:p>
      <w:pPr>
        <w:ind w:firstLine="567"/>
        <w:spacing/>
        <w:jc w:val="both"/>
        <w:rPr>
          <w:color w:val="000000"/>
          <w:sz w:val="24"/>
          <w:szCs w:val="24"/>
        </w:rPr>
      </w:pPr>
      <w:r>
        <w:rPr>
          <w:rStyle w:val="char81"/>
          <w:color w:val="000000"/>
          <w:sz w:val="24"/>
          <w:szCs w:val="24"/>
        </w:rPr>
        <w:t>В рамках реализации «Пушкинская карта»</w:t>
      </w:r>
      <w:r>
        <w:rPr>
          <w:color w:val="000000"/>
          <w:sz w:val="24"/>
          <w:szCs w:val="24"/>
        </w:rPr>
        <w:t xml:space="preserve"> в учреждениях культуры</w:t>
      </w:r>
      <w:r>
        <w:rPr>
          <w:rStyle w:val="char81"/>
          <w:color w:val="000000"/>
          <w:sz w:val="24"/>
          <w:szCs w:val="24"/>
        </w:rPr>
        <w:t xml:space="preserve"> </w:t>
      </w:r>
      <w:r>
        <w:rPr>
          <w:color w:val="000000"/>
          <w:sz w:val="24"/>
          <w:szCs w:val="24"/>
        </w:rPr>
        <w:t>в 2025 году по Пушкинской карте проведено 699 мероприятий, продано 18673 билета на сумму 6635,84 тыс. рублей.</w:t>
      </w:r>
      <w:r>
        <w:rPr>
          <w:color w:val="000000"/>
          <w:sz w:val="24"/>
          <w:szCs w:val="24"/>
        </w:rPr>
      </w:r>
    </w:p>
    <w:p>
      <w:pPr>
        <w:ind w:firstLine="567"/>
        <w:spacing/>
        <w:jc w:val="both"/>
        <w:rPr>
          <w:color w:val="000000"/>
          <w:sz w:val="24"/>
          <w:szCs w:val="24"/>
        </w:rPr>
      </w:pPr>
      <w:r>
        <w:rPr>
          <w:color w:val="000000"/>
          <w:sz w:val="24"/>
          <w:szCs w:val="24"/>
        </w:rPr>
        <w:t>В рамках федерального проекта «Цифровая культура»,</w:t>
      </w:r>
      <w:r>
        <w:rPr>
          <w:b/>
          <w:i/>
          <w:color w:val="000000"/>
          <w:sz w:val="24"/>
          <w:szCs w:val="24"/>
        </w:rPr>
        <w:t xml:space="preserve"> </w:t>
      </w:r>
      <w:r>
        <w:rPr>
          <w:color w:val="000000"/>
          <w:sz w:val="24"/>
          <w:szCs w:val="24"/>
        </w:rPr>
        <w:t>входящего в структуру национального проекта «Культура» в МБУК «ДК «Центральный» продолжает работу виртуальный концертный зал. Ежемесячно, согласно плану работы виртуального концертного зала, проходит две трансляции из Московской Филармонии (для детской и взрослой аудитории). Кроме того, наличие в учреждении виртуального концертного зала позволяет проводить мероприятия с использованием светодиодного экрана. В 2025 году проведено 35 мероприятий, которые посетило 5055 человек.</w:t>
      </w:r>
    </w:p>
    <w:p>
      <w:pPr>
        <w:ind w:firstLine="708"/>
        <w:spacing/>
        <w:jc w:val="both"/>
        <w:rPr>
          <w:color w:val="000000"/>
          <w:sz w:val="24"/>
          <w:szCs w:val="24"/>
        </w:rPr>
      </w:pPr>
      <w:r>
        <w:rPr>
          <w:color w:val="000000"/>
          <w:sz w:val="24"/>
          <w:szCs w:val="24"/>
        </w:rPr>
        <w:t xml:space="preserve">В рамках проекта «Сибирские обереги. Уроки дружбы», созданного МБУК «ДК «Центральный», проводятся мероприятия национальной направленности, фолк-уроки и мастер-классы по изготовления народных оберегов. </w:t>
      </w:r>
    </w:p>
    <w:p>
      <w:pPr>
        <w:spacing/>
        <w:jc w:val="both"/>
        <w:rPr>
          <w:color w:val="000000"/>
          <w:sz w:val="28"/>
          <w:szCs w:val="28"/>
        </w:rPr>
      </w:pPr>
      <w:r>
        <w:rPr>
          <w:color w:val="000000"/>
          <w:sz w:val="28"/>
          <w:szCs w:val="28"/>
        </w:rPr>
      </w:r>
    </w:p>
    <w:p>
      <w:pPr>
        <w:ind w:firstLine="720"/>
        <w:spacing/>
        <w:contextualSpacing/>
        <w:jc w:val="center"/>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bCs/>
          <w:color w:val="000000"/>
          <w:sz w:val="24"/>
          <w:szCs w:val="24"/>
          <w:lang w:eastAsia="ru-ru" w:bidi="ru-ru"/>
        </w:rPr>
      </w:pPr>
      <w:r>
        <w:rPr>
          <w:b/>
          <w:bCs/>
          <w:color w:val="000000"/>
          <w:sz w:val="24"/>
          <w:szCs w:val="24"/>
          <w:lang w:eastAsia="ru-ru" w:bidi="ru-ru"/>
        </w:rPr>
        <w:t>17. СОСТОЯНИЕ ПРАВОПОРЯДКА И БЕЗОПАСНОСТЬ</w:t>
      </w:r>
    </w:p>
    <w:p>
      <w:pPr>
        <w:ind w:firstLine="567"/>
        <w:spacing/>
        <w:contextualSpacing/>
        <w:jc w:val="both"/>
        <w:rPr>
          <w:color w:val="000000"/>
          <w:sz w:val="24"/>
          <w:szCs w:val="24"/>
        </w:rPr>
      </w:pPr>
      <w:r>
        <w:rPr>
          <w:color w:val="000000"/>
          <w:sz w:val="24"/>
          <w:szCs w:val="24"/>
        </w:rPr>
        <w:t xml:space="preserve">По итогам отчётного периода на территории обслуживания Отдела зарегистрированные преступления сократились на 21,3% (с 950 по 748), тяжких и особо тяжких на 16,3% (с 313 до 262). </w:t>
      </w:r>
    </w:p>
    <w:p>
      <w:pPr>
        <w:ind w:firstLine="567"/>
        <w:spacing/>
        <w:contextualSpacing/>
        <w:jc w:val="both"/>
        <w:rPr>
          <w:color w:val="000000"/>
          <w:sz w:val="24"/>
          <w:szCs w:val="24"/>
        </w:rPr>
      </w:pPr>
      <w:r>
        <w:rPr>
          <w:color w:val="000000"/>
          <w:sz w:val="24"/>
          <w:szCs w:val="24"/>
        </w:rPr>
        <w:t>Уровень преступности (в расчёте на 100 тыс. чел.) не превышает среднеобластное значение - 1079 у/п против 1291. Среди субъектов ГУ МВД по Кемеровской области - Кузбассу Отдел находится на 12 месте.</w:t>
      </w:r>
    </w:p>
    <w:p>
      <w:pPr>
        <w:ind w:firstLine="567"/>
        <w:spacing/>
        <w:contextualSpacing/>
        <w:jc w:val="both"/>
        <w:rPr>
          <w:color w:val="000000"/>
          <w:sz w:val="24"/>
          <w:szCs w:val="24"/>
        </w:rPr>
      </w:pPr>
      <w:r>
        <w:rPr>
          <w:color w:val="000000"/>
          <w:sz w:val="24"/>
          <w:szCs w:val="24"/>
        </w:rPr>
        <w:t>На 29,2% меньше поставлено на учёт преступлений против личности (-35%, со 120 до 85), в том числе умышленных убийств (-50%, с 4 до 2), фактов причинения тяжкого вреда здоровью (-50%, с 20 до 10), из них со смертельным исходом (-66,7%, с 9 до 3).</w:t>
      </w:r>
    </w:p>
    <w:p>
      <w:pPr>
        <w:ind w:firstLine="567"/>
        <w:spacing/>
        <w:contextualSpacing/>
        <w:jc w:val="both"/>
        <w:rPr>
          <w:color w:val="000000"/>
          <w:sz w:val="24"/>
          <w:szCs w:val="24"/>
        </w:rPr>
      </w:pPr>
      <w:r>
        <w:rPr>
          <w:color w:val="000000"/>
          <w:sz w:val="24"/>
          <w:szCs w:val="24"/>
        </w:rPr>
        <w:t>Количество имущественных составов сократилось (-17,3%, с 509 до 421). Меньше совершено краж (-26,4%), грабежей (-33,3%), мошенничеств (-1,1%), не допущено разбойных нападений, краж транспорта.</w:t>
      </w:r>
    </w:p>
    <w:p>
      <w:pPr>
        <w:ind w:firstLine="567"/>
        <w:spacing/>
        <w:contextualSpacing/>
        <w:jc w:val="both"/>
        <w:rPr>
          <w:color w:val="000000"/>
          <w:sz w:val="24"/>
          <w:szCs w:val="24"/>
        </w:rPr>
      </w:pPr>
      <w:r>
        <w:rPr>
          <w:color w:val="000000"/>
          <w:sz w:val="24"/>
          <w:szCs w:val="24"/>
        </w:rPr>
        <w:t>Ситуация в сфере хищения товаров и продуктов питания из мест торговли сохраняет динумику снижения (-27,5%).</w:t>
      </w:r>
    </w:p>
    <w:p>
      <w:pPr>
        <w:ind w:firstLine="567"/>
        <w:spacing/>
        <w:contextualSpacing/>
        <w:jc w:val="both"/>
        <w:rPr>
          <w:color w:val="000000"/>
          <w:sz w:val="24"/>
          <w:szCs w:val="24"/>
        </w:rPr>
      </w:pPr>
      <w:r>
        <w:rPr>
          <w:color w:val="000000"/>
          <w:sz w:val="24"/>
          <w:szCs w:val="24"/>
        </w:rPr>
        <w:t>Продуктивная профилактическая работа в борьбе с киберпреступлениями принесла определённые положительные результаты. Снижены темпы прироста имущественных преступлений, совершаемых с использованием ИТТ (кражи на 14%), включая дистанционные кражи (-45,1%) и мошенничества (-5,6%).</w:t>
      </w:r>
    </w:p>
    <w:p>
      <w:pPr>
        <w:ind w:firstLine="567"/>
        <w:spacing/>
        <w:contextualSpacing/>
        <w:jc w:val="both"/>
        <w:rPr>
          <w:color w:val="000000"/>
          <w:sz w:val="24"/>
          <w:szCs w:val="24"/>
        </w:rPr>
      </w:pPr>
      <w:r>
        <w:rPr>
          <w:color w:val="000000"/>
          <w:sz w:val="24"/>
          <w:szCs w:val="24"/>
        </w:rPr>
        <w:t>Число выявленных наркопреступлений увеличилось на 7,8% (с 115 до 124). Больше половины (69%) преступлений совершается с использованием информационно-телекоммуникационных технологий. В структуре наркопреступлений доминантную часть (69%) составляют наркосбыты.</w:t>
      </w:r>
    </w:p>
    <w:p>
      <w:pPr>
        <w:ind w:firstLine="567"/>
        <w:spacing/>
        <w:contextualSpacing/>
        <w:jc w:val="both"/>
        <w:rPr>
          <w:color w:val="000000"/>
          <w:sz w:val="24"/>
          <w:szCs w:val="24"/>
        </w:rPr>
      </w:pPr>
      <w:r>
        <w:rPr>
          <w:color w:val="000000"/>
          <w:sz w:val="24"/>
          <w:szCs w:val="24"/>
        </w:rPr>
        <w:t>Выявлено 21 преступление экономической направленности, тяжкой категории, в том числе 13 - совершённых в крупном или особо крупном размерах. Выявлено 10 лиц, уголовные по которым направлены в суд по тяжким и особо тяжким преступлениям.</w:t>
      </w:r>
    </w:p>
    <w:p>
      <w:pPr>
        <w:ind w:firstLine="567"/>
        <w:spacing/>
        <w:contextualSpacing/>
        <w:jc w:val="both"/>
        <w:rPr>
          <w:color w:val="000000"/>
          <w:sz w:val="24"/>
          <w:szCs w:val="24"/>
        </w:rPr>
      </w:pPr>
      <w:r>
        <w:rPr>
          <w:color w:val="000000"/>
          <w:sz w:val="24"/>
          <w:szCs w:val="24"/>
        </w:rPr>
        <w:t>Ведомственный и процессуальный контроль за деятельностью органов предварительного следствия и дознания способствовал расследованию 462 преступлений, в их числе 109 тяжкой и особо тяжкой категории.</w:t>
      </w:r>
    </w:p>
    <w:p>
      <w:pPr>
        <w:ind w:firstLine="567"/>
        <w:spacing/>
        <w:contextualSpacing/>
        <w:jc w:val="both"/>
        <w:rPr>
          <w:color w:val="000000"/>
          <w:sz w:val="24"/>
          <w:szCs w:val="24"/>
        </w:rPr>
      </w:pPr>
      <w:r>
        <w:rPr>
          <w:color w:val="000000"/>
          <w:sz w:val="24"/>
          <w:szCs w:val="24"/>
        </w:rPr>
        <w:t>Возросла эффективность расследования преступлений превентивных составов, краж из автомобилей, дистанционных краж, угонов, фактов уничтожения имущества путём поджога.</w:t>
      </w:r>
    </w:p>
    <w:p>
      <w:pPr>
        <w:ind w:firstLine="567"/>
        <w:spacing/>
        <w:contextualSpacing/>
        <w:jc w:val="both"/>
        <w:rPr>
          <w:color w:val="000000"/>
          <w:sz w:val="24"/>
          <w:szCs w:val="24"/>
        </w:rPr>
      </w:pPr>
      <w:r>
        <w:rPr>
          <w:color w:val="000000"/>
          <w:sz w:val="24"/>
          <w:szCs w:val="24"/>
        </w:rPr>
        <w:t>В целом за совершение преступлений выявлено 354 лица.</w:t>
      </w:r>
    </w:p>
    <w:p>
      <w:pPr>
        <w:ind w:firstLine="567"/>
        <w:spacing/>
        <w:contextualSpacing/>
        <w:jc w:val="both"/>
        <w:rPr>
          <w:color w:val="000000"/>
          <w:sz w:val="24"/>
          <w:szCs w:val="24"/>
        </w:rPr>
      </w:pPr>
      <w:r>
        <w:rPr>
          <w:color w:val="000000"/>
          <w:sz w:val="24"/>
          <w:szCs w:val="24"/>
        </w:rPr>
        <w:t>Общий процент раскрываемости по расследованным преступлениям составил 59,7 (-1,2%).</w:t>
      </w:r>
    </w:p>
    <w:p>
      <w:pPr>
        <w:ind w:firstLine="567"/>
        <w:spacing/>
        <w:contextualSpacing/>
        <w:jc w:val="both"/>
        <w:rPr>
          <w:color w:val="000000"/>
          <w:sz w:val="24"/>
          <w:szCs w:val="24"/>
        </w:rPr>
      </w:pPr>
      <w:r>
        <w:rPr>
          <w:color w:val="000000"/>
          <w:sz w:val="24"/>
          <w:szCs w:val="24"/>
        </w:rPr>
        <w:t>Следственным отделом в суд направлено 150 уголовных дел на 192 эпизода (2024г - 156 дел на 200 эпизодов), отделом дознания направлено 144 уголовных дела на 212 эпизодов (2024г- 169 дел на 305 эпизодов).</w:t>
      </w:r>
    </w:p>
    <w:p>
      <w:pPr>
        <w:pStyle w:val="para85"/>
        <w:ind w:firstLine="794"/>
        <w:spacing/>
        <w:contextualSpacing/>
        <w:jc w:val="both"/>
        <w:keepNext/>
        <w:rPr>
          <w:rFonts w:eastAsia="Times New Roman"/>
          <w:color w:val="000000"/>
          <w:sz w:val="24"/>
        </w:rPr>
      </w:pPr>
      <w:r>
        <w:rPr>
          <w:rFonts w:eastAsia="Times New Roman"/>
          <w:color w:val="000000"/>
          <w:sz w:val="24"/>
        </w:rPr>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 xml:space="preserve">МКУ «Управление по делам ГО и ЧС» осуществляет свою деятельность в соответствии с Планом основных мероприятий АСГО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За 12 месяцев 2025 года организовано и проведено:</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-8 заседаний антитеррористической комиссии, рассмотрено 35 вопросов;</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-4 заседание комиссии по профилактике правонарушений, рассмотрено 22 вопросов;</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-2 заседания эвакуационной комиссии, рассмотрено 5 вопроса;</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-23 заседаний комиссии по чрезвычайным ситуациям и пожарной безопасности, принято 47 вопросов, в том числе 21 внеплановых;</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-проведена 126 проверка антитеррористической защищенности объектов и территории, из них 70 обследований объектов,  находящихся в муниципальной собственности, в том числе 5 религиозных объектов;</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-откорректированы планы:</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-приведения в готовность гражданской обороны,</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-гражданкой обороны и защиты населения,</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-Действий сил гражданской обороны.</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-проведена актуализация:</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-планов действий по предупреждению и ликвидации ЧС, организации первоочередного жизнеобеспечения населения в чрезвычайных ситуациях;</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-паспорт безопасности Анжеро-Судженского городского округа, паспорт муниципальной системы оповещения;</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-подготовлено 29 проектов постановлений и распоряжений администрации городского округа;</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-разработан, согласован в соответствии с установленным порядком и утверждён главой городского округа План основных мероприятий в области гражданской обороны, предупреждения и ликвидации ЧС, обеспечение пожарной безопасности и безопасности людей на водных объектах на 2025г.</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Оказана методическая помощь в подготовке и проведении учений, тренировок на 24 объектах; в разработке, согласовании Плана основных мероприятий по 75 объектам различной формы собственности; проведена проверка готовности МСО населения АСГО с включением оконечных устройств (сирен); установлено 13 предупреждающих знаков «Переход/переезд по лбду запрещён»;  установлено 19 предупреждающих знаков «купаться запрещено», ежедневно осуществлялось патрулирование территории городского округа; организованы и проведены с привлечением сил и средств городского звена ТП РСЧС 1 штабная тренировка, 1 тактико-специальное учение; проведено 40 выездных обследований с составлением актов осмотра жилого помещения, по результатам которых установлено 20 датчиков угарного газа и 107 автономных дымовых пожарных извещателей.</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 xml:space="preserve">Проводилась профилактическая работа различной направленности: </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-изготовлено и распространено более 5000 шт. информационных материалов (брошюры, буклеты, листовки, памятки);</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-проведено более 2500 бесед с населением городского округа;</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-размещено в СМИ, на страницах социальных сетей 380 материалов.</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Выполнились мероприятия по реконструкции местной системы оповещения (установка столбов, организация подключения к электросети).</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 xml:space="preserve">Осуществлялся контроль за организацией подготовки населения в области ГО и ЧС. В соответствии с Планом комплектования Кузбасского объединённого учебно-методического центра по ГО и ЧС, пожарной безопасности на 2025 год, прошли подготовку 33 человека КОУМЦ по ГО и ЧС в г. Кемерово. </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 xml:space="preserve">За 12 месяцев 2025 года в ЕДДС, в том числе по системе 112 поступило более 11 000  информационных сообщений об: </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 xml:space="preserve">-угрозе возникновения ЧС природного и техногенного характера, </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 xml:space="preserve">-резкого ухудшения погодных условий, связанных с гололедными явлениями, повышением (понижением) температуры окружающего воздуха, ливнями, грозовым фронтом, </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 xml:space="preserve">-ухудшении пожароопасной обстановки, </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 xml:space="preserve">-содержании дорог, </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 xml:space="preserve">-обнаружении подозрительных предметов, </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 xml:space="preserve">аварийных отключениях электроэнергии, горячего и холодного водоснабжения, в том числе обращения граждан с консультациями различного характера </w:t>
      </w:r>
      <w:r>
        <w:rPr>
          <w:i/>
          <w:color w:val="000000"/>
          <w:sz w:val="24"/>
          <w:szCs w:val="24"/>
        </w:rPr>
        <w:t>(разлив ртути, укус клеща, первая помощь при отравлении угарным газом, ожогах, возникновении задымления и т.д.)</w:t>
      </w:r>
      <w:r>
        <w:rPr>
          <w:color w:val="000000"/>
          <w:sz w:val="24"/>
          <w:szCs w:val="24"/>
        </w:rPr>
        <w:t>.</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 xml:space="preserve">ЕДДС отработаны 9 тренировок по вводным ЦУКС ГУ МЧС России по Кемеровской области - Кузбассу по предупреждению и ликвидации чрезвычайных ситуаций. </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Ежемесячно проводилась работа по корректировке электронных паспортов территорий, входящих в состав Анжеро-Судженского городского округа.</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Проведена работа по актуализации соглашения об осуществлении информационного обмена при решении задач предупреждения и ликвидации чрезвычайных ситуаций, в том числе с операторами связи.</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r>
    </w:p>
    <w:p>
      <w:pPr>
        <w: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b/>
          <w:color w:val="000000"/>
          <w:sz w:val="24"/>
          <w:szCs w:val="24"/>
        </w:rPr>
      </w:pPr>
      <w:r>
        <w:rPr>
          <w:b/>
          <w:color w:val="000000"/>
          <w:sz w:val="24"/>
          <w:szCs w:val="24"/>
        </w:rPr>
        <w:t>Начальник управления экономического</w:t>
      </w:r>
    </w:p>
    <w:p>
      <w:pPr>
        <w: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b/>
          <w:color w:val="000000"/>
          <w:sz w:val="24"/>
          <w:szCs w:val="24"/>
        </w:rPr>
      </w:pPr>
      <w:r>
        <w:rPr>
          <w:b/>
          <w:color w:val="000000"/>
          <w:sz w:val="24"/>
          <w:szCs w:val="24"/>
        </w:rPr>
        <w:t>развития, промышленности и предпринимательства                                        И.В. Чемякин</w:t>
      </w:r>
    </w:p>
    <w:p>
      <w:pPr>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i/>
          <w:color w:val="000000"/>
          <w:sz w:val="24"/>
          <w:szCs w:val="24"/>
        </w:rPr>
      </w:pPr>
      <w:r>
        <w:rPr>
          <w:b/>
          <w:color w:val="000000"/>
          <w:sz w:val="24"/>
          <w:szCs w:val="24"/>
        </w:rPr>
        <w:t>_________________________________________________________________________________</w:t>
      </w:r>
      <w:r>
        <w:rPr>
          <w:i/>
          <w:color w:val="000000"/>
          <w:sz w:val="24"/>
          <w:szCs w:val="24"/>
        </w:rPr>
      </w:r>
    </w:p>
    <w:p>
      <w:pPr>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rPr>
      </w:pPr>
      <w:r>
        <w:rPr>
          <w:i/>
          <w:color w:val="000000"/>
          <w:sz w:val="24"/>
          <w:szCs w:val="24"/>
        </w:rPr>
        <w:t>Отчёт подготовлен по данным Территориального органа Федеральной службы государственной статистики по Кемеровской области, структурных подразделений администрации Анжеро-Судженского городского округа, территориальных подразделений федеральных органов исполнительной власти Кемеровской области.</w:t>
      </w:r>
      <w:r>
        <w:rPr>
          <w:b/>
          <w:color w:val="000000"/>
          <w:sz w:val="24"/>
          <w:szCs w:val="24"/>
        </w:rPr>
        <w:t xml:space="preserve"> </w:t>
      </w:r>
      <w:r>
        <w:rPr>
          <w:color w:val="000000"/>
        </w:rPr>
      </w:r>
    </w:p>
    <w:sectPr>
      <w:footnotePr>
        <w:pos w:val="pageBottom"/>
        <w:numFmt w:val="decimal"/>
        <w:numStart w:val="1"/>
        <w:numRestart w:val="continuous"/>
      </w:footnotePr>
      <w:endnotePr>
        <w:pos w:val="docEnd"/>
        <w:numFmt w:val="lowerRoman"/>
        <w:numStart w:val="1"/>
        <w:numRestart w:val="continuous"/>
      </w:endnotePr>
      <w:headerReference w:type="default" r:id="rId14"/>
      <w:footerReference w:type="default" r:id="rId15"/>
      <w:type w:val="nextPage"/>
      <w:pgSz w:h="16838" w:w="11906"/>
      <w:pgMar w:left="1417" w:top="709" w:right="709" w:bottom="1162" w:header="0"/>
      <w:paperSrc w:first="0" w:other="0" a="0" b="0"/>
      <w:pgNumType w:fmt="decimal"/>
      <w:tmGutter w:val="3"/>
      <w:mirrorMargins w:val="0"/>
      <w:tmSection w:h="-2">
        <w:tmHeader w:id="0" w:h="0" edge="0" text="0">
          <w:shd w:val="none"/>
        </w:tmHeader>
        <w:tmFooter w:id="0" w:h="0" edge="720"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charset w:val="00"/>
    <w:family w:val="roman"/>
    <w:pitch w:val="default"/>
  </w:font>
  <w:font w:name="Arial">
    <w:charset w:val="00"/>
    <w:family w:val="swiss"/>
    <w:pitch w:val="default"/>
  </w:font>
  <w:font w:name="PT Astra Serif">
    <w:charset w:val="00"/>
    <w:family w:val="roman"/>
    <w:pitch w:val="default"/>
  </w:font>
  <w:font w:name="Tahoma">
    <w:charset w:val="00"/>
    <w:family w:val="swiss"/>
    <w:pitch w:val="default"/>
  </w:font>
  <w:font w:name="Noto Sans Devanagari">
    <w:charset w:val="00"/>
    <w:family w:val="roman"/>
    <w:pitch w:val="default"/>
  </w:font>
  <w:font w:name="a_CityNovaLt">
    <w:charset w:val="00"/>
    <w:family w:val="roman"/>
    <w:pitch w:val="default"/>
  </w:font>
  <w:font w:name="Calibri">
    <w:charset w:val="00"/>
    <w:family w:val="swiss"/>
    <w:pitch w:val="default"/>
  </w:font>
  <w:font w:name="Courier New">
    <w:charset w:val="00"/>
    <w:family w:val="modern"/>
    <w:pitch w:val="default"/>
  </w:font>
  <w:font w:name="Symbol">
    <w:charset w:val="02"/>
    <w:family w:val="roman"/>
    <w:pitch w:val="default"/>
  </w:font>
  <w:font w:name="Wingdings">
    <w:charset w:val="02"/>
    <w:family w:val="auto"/>
    <w:pitch w:val="default"/>
  </w:font>
  <w:font w:name="Source Han Sans CN Regular">
    <w:charset w:val="00"/>
    <w:family w:val="auto"/>
    <w:pitch w:val="default"/>
  </w:font>
  <w:font w:name="Lohit Devanagari">
    <w:charset w:val="00"/>
    <w:family w:val="auto"/>
    <w:pitch w:val="default"/>
  </w:font>
  <w:font w:name="Courier-PS">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33"/>
      <w:ind w:right="360"/>
    </w:pPr>
    <w:r>
      <w:rPr>
        <w:noProof/>
      </w:rPr>
      <mc:AlternateContent>
        <mc:Choice Requires="wps">
          <w:drawing>
            <wp:anchor distT="0" distB="0" distL="0" distR="0" simplePos="0" relativeHeight="251658241" behindDoc="0" locked="0" layoutInCell="0" hidden="0" allowOverlap="1">
              <wp:simplePos x="0" y="0"/>
              <wp:positionH relativeFrom="page">
                <wp:posOffset>7110730</wp:posOffset>
              </wp:positionH>
              <wp:positionV relativeFrom="paragraph">
                <wp:posOffset>635</wp:posOffset>
              </wp:positionV>
              <wp:extent cx="58420" cy="140970"/>
              <wp:effectExtent l="0" t="0" r="0" b="0"/>
              <wp:wrapSquare wrapText="largest"/>
              <wp:docPr id="1" name="Текстовое поле1"/>
              <wp:cNvGraphicFramePr/>
              <a:graphic xmlns:a="http://schemas.openxmlformats.org/drawingml/2006/main">
                <a:graphicData uri="http://schemas.microsoft.com/office/word/2010/wordprocessingShape">
                  <wps:wsp>
                    <wps:cNvSpPr>
                      <a:extLst>
                        <a:ext uri="sm">
                          <sm:smNativeData xmlns:sm="sm" val="SMDATA_14_JtUoahMAAAAlAAAAZAAAAE0AAAAACAAAAAgAAAAIAAAACAAAAAAAAAAAAAAAAAAAAAEAAABQAAAAAAAAAAAA4D8AAAAAAADgPwAAAAAAAOA/AAAAAAAA4D8AAAAAAADgPwAAAAAAAOA/AAAAAAAA4D8AAAAAAADgPwAAAAAAAOA/AAAAAAAA4D8CAAAAjAAAAAEAAAAAAAAA////AAAAAABk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4gAAIwAAAAAAAAAAAAAAAAAAAL4rAAAAAAAAAgAAAAEAAABcAAAA3gAAAAAAAAC+KwAAEj4AACgAAAAIAAAAAQAAAAEAAAA="/>
                        </a:ext>
                      </a:extLst>
                    </wps:cNvSpPr>
                    <wps:spPr>
                      <a:xfrm>
                        <a:off x="0" y="0"/>
                        <a:ext cx="58420" cy="140970"/>
                      </a:xfrm>
                      <a:prstGeom prst="rect">
                        <a:avLst/>
                      </a:prstGeom>
                      <a:solidFill>
                        <a:srgbClr val="FFFFFF">
                          <a:alpha val="0"/>
                        </a:srgbClr>
                      </a:solidFill>
                      <a:ln w="12700">
                        <a:noFill/>
                      </a:ln>
                    </wps:spPr>
                    <wps:txbx>
                      <w:txbxContent>
                        <w:p>
                          <w:pPr>
                            <w:pStyle w:val="para33"/>
                          </w:pPr>
                          <w:r>
                            <w:fldChar w:fldCharType="begin"/>
                            <w:instrText xml:space="preserve"> PAGE </w:instrText>
                            <w:fldChar w:fldCharType="separate"/>
                            <w:t>2</w:t>
                            <w:fldChar w:fldCharType="end"/>
                          </w:r>
                        </w:p>
                      </w:txbxContent>
                    </wps:txbx>
                    <wps:bodyPr spcFirstLastPara="1" vertOverflow="clip" horzOverflow="clip" lIns="5080" tIns="5080" rIns="5080" bIns="5080" upright="1">
                      <a:prstTxWarp prst="textNoShape">
                        <a:avLst/>
                      </a:prstTxWarp>
                      <a:noAutofit/>
                    </wps:bodyPr>
                  </wps:wsp>
                </a:graphicData>
              </a:graphic>
            </wp:anchor>
          </w:drawing>
        </mc:Choice>
        <mc:Fallback>
          <w:pict>
            <v:rect id="Текстовое поле1" o:spid="_x0000_s3073" style="position:absolute;margin-left:559.90pt;margin-top:0.05pt;mso-position-horizontal-relative:page;width:4.60pt;height:11.10pt;z-index:251658241;mso-wrap-distance-left:0.00pt;mso-wrap-distance-top:0.00pt;mso-wrap-distance-right:0.00pt;mso-wrap-distance-bottom:0.00pt;mso-wrap-style:square" stroked="f" fillcolor="#ffffff" v:ext="SMDATA_14_JtUoahMAAAAlAAAAZAAAAE0AAAAACAAAAAgAAAAIAAAACAAAAAAAAAAAAAAAAAAAAAEAAABQAAAAAAAAAAAA4D8AAAAAAADgPwAAAAAAAOA/AAAAAAAA4D8AAAAAAADgPwAAAAAAAOA/AAAAAAAA4D8AAAAAAADgPwAAAAAAAOA/AAAAAAAA4D8CAAAAjAAAAAEAAAAAAAAA////AAAAAABk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4gAAIwAAAAAAAAAAAAAAAAAAAL4rAAAAAAAAAgAAAAEAAABcAAAA3gAAAAAAAAC+KwAAEj4AACgAAAAIAAAAAQAAAAEAAAA=" o:insetmode="custom">
              <v:fill color2="#000000" type="solid" opacity="0f" angle="90"/>
              <w10:wrap type="square" side="largest" anchorx="page" anchory="text"/>
              <v:textbox inset="0.4pt,0.4pt,0.4pt,0.4pt">
                <w:txbxContent>
                  <w:p>
                    <w:pPr>
                      <w:pStyle w:val="para33"/>
                    </w:pPr>
                    <w:r>
                      <w:fldChar w:fldCharType="begin"/>
                      <w:instrText xml:space="preserve"> PAGE </w:instrText>
                      <w:fldChar w:fldCharType="separate"/>
                      <w:t>2</w:t>
                      <w:fldChar w:fldCharType="end"/>
                    </w:r>
                  </w:p>
                </w:txbxContent>
              </v:textbox>
            </v:rect>
          </w:pict>
        </mc:Fallback>
      </mc:AlternateConten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33"/>
      <w:ind w:right="360"/>
    </w:pPr>
    <w:r>
      <w:rPr>
        <w:noProof/>
      </w:rPr>
      <mc:AlternateContent>
        <mc:Choice Requires="wps">
          <w:drawing>
            <wp:anchor distT="0" distB="0" distL="0" distR="0" simplePos="0" relativeHeight="251658242" behindDoc="0" locked="0" layoutInCell="0" hidden="0" allowOverlap="1">
              <wp:simplePos x="0" y="0"/>
              <wp:positionH relativeFrom="page">
                <wp:posOffset>9972040</wp:posOffset>
              </wp:positionH>
              <wp:positionV relativeFrom="paragraph">
                <wp:posOffset>635</wp:posOffset>
              </wp:positionV>
              <wp:extent cx="271780" cy="129540"/>
              <wp:effectExtent l="0" t="0" r="0" b="0"/>
              <wp:wrapSquare wrapText="largest"/>
              <wp:docPr id="2" name="Текстовое поле2"/>
              <wp:cNvGraphicFramePr/>
              <a:graphic xmlns:a="http://schemas.openxmlformats.org/drawingml/2006/main">
                <a:graphicData uri="http://schemas.microsoft.com/office/word/2010/wordprocessingShape">
                  <wps:wsp>
                    <wps:cNvSpPr>
                      <a:extLst>
                        <a:ext uri="sm">
                          <sm:smNativeData xmlns:sm="sm" val="SMDATA_14_JtUoahMAAAAlAAAAZAAAAE0AAAAACAAAAAgAAAAIAAAACAAAAAAAAAAAAAAAAAAAAAEAAABQAAAAAAAAAAAA4D8AAAAAAADgPwAAAAAAAOA/AAAAAAAA4D8AAAAAAADgPwAAAAAAAOA/AAAAAAAA4D8AAAAAAADgPwAAAAAAAOA/AAAAAAAA4D8CAAAAjAAAAAEAAAAAAAAA////AAAAAABk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U4gAAAwAAAAAAAAAAAAAAAAAAAFg9AAAAAAAAAgAAAAEAAACsAQAAzAAAAAAAAQBYPQAAzioAACgAAAAIAAAAAQAAAAEAAAA="/>
                        </a:ext>
                      </a:extLst>
                    </wps:cNvSpPr>
                    <wps:spPr>
                      <a:xfrm>
                        <a:off x="0" y="0"/>
                        <a:ext cx="271780" cy="129540"/>
                      </a:xfrm>
                      <a:prstGeom prst="rect">
                        <a:avLst/>
                      </a:prstGeom>
                      <a:solidFill>
                        <a:srgbClr val="FFFFFF">
                          <a:alpha val="0"/>
                        </a:srgbClr>
                      </a:solidFill>
                      <a:ln w="12700">
                        <a:noFill/>
                      </a:ln>
                    </wps:spPr>
                    <wps:txbx>
                      <w:txbxContent>
                        <w:p>
                          <w:pPr>
                            <w:pStyle w:val="para33"/>
                          </w:pPr>
                          <w:r>
                            <w:rPr>
                              <w:rStyle w:val="char12"/>
                            </w:rPr>
                          </w:r>
                          <w:r>
                            <w:rPr>
                              <w:rStyle w:val="char12"/>
                            </w:rPr>
                            <w:fldChar w:fldCharType="begin"/>
                            <w:instrText xml:space="preserve"> PAGE </w:instrText>
                            <w:fldChar w:fldCharType="separate"/>
                            <w:t>11</w:t>
                            <w:fldChar w:fldCharType="end"/>
                          </w:r>
                          <w:r/>
                        </w:p>
                      </w:txbxContent>
                    </wps:txbx>
                    <wps:bodyPr spcFirstLastPara="1" vertOverflow="clip" horzOverflow="clip" lIns="5080" tIns="5080" rIns="5080" bIns="5080" upright="1">
                      <a:prstTxWarp prst="textNoShape">
                        <a:avLst/>
                      </a:prstTxWarp>
                      <a:noAutofit/>
                    </wps:bodyPr>
                  </wps:wsp>
                </a:graphicData>
              </a:graphic>
            </wp:anchor>
          </w:drawing>
        </mc:Choice>
        <mc:Fallback>
          <w:pict>
            <v:rect id="Текстовое поле2" o:spid="_x0000_s5121" style="position:absolute;margin-left:785.20pt;margin-top:0.05pt;mso-position-horizontal-relative:page;width:21.40pt;height:10.20pt;z-index:251658242;mso-wrap-distance-left:0.00pt;mso-wrap-distance-top:0.00pt;mso-wrap-distance-right:0.00pt;mso-wrap-distance-bottom:0.00pt;mso-wrap-style:square" stroked="f" fillcolor="#ffffff" v:ext="SMDATA_14_JtUoahMAAAAlAAAAZAAAAE0AAAAACAAAAAgAAAAIAAAACAAAAAAAAAAAAAAAAAAAAAEAAABQAAAAAAAAAAAA4D8AAAAAAADgPwAAAAAAAOA/AAAAAAAA4D8AAAAAAADgPwAAAAAAAOA/AAAAAAAA4D8AAAAAAADgPwAAAAAAAOA/AAAAAAAA4D8CAAAAjAAAAAEAAAAAAAAA////AAAAAABk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U4gAAAwAAAAAAAAAAAAAAAAAAAFg9AAAAAAAAAgAAAAEAAACsAQAAzAAAAAAAAQBYPQAAzioAACgAAAAIAAAAAQAAAAEAAAA=" o:insetmode="custom">
              <v:fill color2="#000000" type="solid" opacity="0f" angle="90"/>
              <w10:wrap type="square" side="largest" anchorx="page" anchory="text"/>
              <v:textbox inset="0.4pt,0.4pt,0.4pt,0.4pt">
                <w:txbxContent>
                  <w:p>
                    <w:pPr>
                      <w:pStyle w:val="para33"/>
                    </w:pPr>
                    <w:r>
                      <w:rPr>
                        <w:rStyle w:val="char12"/>
                      </w:rPr>
                    </w:r>
                    <w:r>
                      <w:rPr>
                        <w:rStyle w:val="char12"/>
                      </w:rPr>
                      <w:fldChar w:fldCharType="begin"/>
                      <w:instrText xml:space="preserve"> PAGE </w:instrText>
                      <w:fldChar w:fldCharType="separate"/>
                      <w:t>11</w:t>
                      <w:fldChar w:fldCharType="end"/>
                    </w:r>
                    <w:r/>
                  </w:p>
                </w:txbxContent>
              </v:textbox>
            </v:rect>
          </w:pict>
        </mc:Fallback>
      </mc:AlternateContent>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33"/>
      <w:ind w:right="360"/>
    </w:pPr>
    <w:r>
      <w:rPr>
        <w:noProof/>
      </w:rPr>
      <mc:AlternateContent>
        <mc:Choice Requires="wps">
          <w:drawing>
            <wp:anchor distT="0" distB="0" distL="0" distR="0" simplePos="0" relativeHeight="251658243" behindDoc="0" locked="0" layoutInCell="0" hidden="0" allowOverlap="1">
              <wp:simplePos x="0" y="0"/>
              <wp:positionH relativeFrom="page">
                <wp:posOffset>7110095</wp:posOffset>
              </wp:positionH>
              <wp:positionV relativeFrom="paragraph">
                <wp:posOffset>635</wp:posOffset>
              </wp:positionV>
              <wp:extent cx="250190" cy="132715"/>
              <wp:effectExtent l="0" t="0" r="0" b="0"/>
              <wp:wrapSquare wrapText="largest"/>
              <wp:docPr id="3" name="Текстовое поле3"/>
              <wp:cNvGraphicFramePr/>
              <a:graphic xmlns:a="http://schemas.openxmlformats.org/drawingml/2006/main">
                <a:graphicData uri="http://schemas.microsoft.com/office/word/2010/wordprocessingShape">
                  <wps:wsp>
                    <wps:cNvSpPr>
                      <a:extLst>
                        <a:ext uri="sm">
                          <sm:smNativeData xmlns:sm="sm" val="SMDATA_14_JtUoahMAAAAlAAAAZAAAAA0AAAAACAAAAAgAAAAIAAAACAAAAAAAAAAAAAAAAAAAAAEAAABQAAAAAAAAAAAA4D8AAAAAAADgPwAAAAAAAOA/AAAAAAAA4D8AAAAAAADgPwAAAAAAAOA/AAAAAAAA4D8AAAAAAADgPwAAAAAAAOA/AAAAAAAA4D8CAAAAjAAAAAEAAAAAAAAA////AAAAAABk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U4gAAAwAAAAAAAAAAAAAAAAAAAL0rAAAAAAAAAgAAAAEAAACKAQAA0QAAAAAAAgC9KwAAEj4AACgAAAAIAAAAAQAAAAEAAAA="/>
                        </a:ext>
                      </a:extLst>
                    </wps:cNvSpPr>
                    <wps:spPr>
                      <a:xfrm>
                        <a:off x="0" y="0"/>
                        <a:ext cx="250190" cy="132715"/>
                      </a:xfrm>
                      <a:prstGeom prst="rect">
                        <a:avLst/>
                      </a:prstGeom>
                      <a:solidFill>
                        <a:srgbClr val="FFFFFF">
                          <a:alpha val="0"/>
                        </a:srgbClr>
                      </a:solidFill>
                      <a:ln w="12700">
                        <a:noFill/>
                      </a:ln>
                    </wps:spPr>
                    <wps:txbx>
                      <w:txbxContent>
                        <w:p>
                          <w:pPr>
                            <w:pStyle w:val="para33"/>
                          </w:pPr>
                          <w:r>
                            <w:rPr>
                              <w:rStyle w:val="char12"/>
                            </w:rPr>
                          </w:r>
                          <w:r>
                            <w:rPr>
                              <w:rStyle w:val="char12"/>
                            </w:rPr>
                            <w:fldChar w:fldCharType="begin"/>
                            <w:instrText xml:space="preserve"> PAGE </w:instrText>
                            <w:fldChar w:fldCharType="separate"/>
                            <w:t>35</w:t>
                            <w:fldChar w:fldCharType="end"/>
                          </w:r>
                          <w:r/>
                        </w:p>
                      </w:txbxContent>
                    </wps:txbx>
                    <wps:bodyPr spcFirstLastPara="1" vertOverflow="clip" horzOverflow="clip" lIns="5080" tIns="5080" rIns="5080" bIns="5080" upright="1">
                      <a:prstTxWarp prst="textNoShape">
                        <a:avLst/>
                      </a:prstTxWarp>
                      <a:noAutofit/>
                    </wps:bodyPr>
                  </wps:wsp>
                </a:graphicData>
              </a:graphic>
            </wp:anchor>
          </w:drawing>
        </mc:Choice>
        <mc:Fallback>
          <w:pict>
            <v:rect id="Текстовое поле3" o:spid="_x0000_s7169" style="position:absolute;margin-left:559.85pt;margin-top:0.05pt;mso-position-horizontal-relative:page;width:19.70pt;height:10.45pt;z-index:251658243;mso-wrap-distance-left:0.00pt;mso-wrap-distance-top:0.00pt;mso-wrap-distance-right:0.00pt;mso-wrap-distance-bottom:0.00pt;mso-wrap-style:square" stroked="f" fillcolor="#ffffff" v:ext="SMDATA_14_JtUoahMAAAAlAAAAZAAAAA0AAAAACAAAAAgAAAAIAAAACAAAAAAAAAAAAAAAAAAAAAEAAABQAAAAAAAAAAAA4D8AAAAAAADgPwAAAAAAAOA/AAAAAAAA4D8AAAAAAADgPwAAAAAAAOA/AAAAAAAA4D8AAAAAAADgPwAAAAAAAOA/AAAAAAAA4D8CAAAAjAAAAAEAAAAAAAAA////AAAAAABk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U4gAAAwAAAAAAAAAAAAAAAAAAAL0rAAAAAAAAAgAAAAEAAACKAQAA0QAAAAAAAgC9KwAAEj4AACgAAAAIAAAAAQAAAAEAAAA=" o:insetmode="custom">
              <v:fill color2="#000000" type="solid" opacity="0f" angle="90"/>
              <w10:wrap type="square" side="largest" anchorx="page" anchory="text"/>
              <v:textbox inset="0.4pt,0.4pt,0.4pt,0.4pt">
                <w:txbxContent>
                  <w:p>
                    <w:pPr>
                      <w:pStyle w:val="para33"/>
                    </w:pPr>
                    <w:r>
                      <w:rPr>
                        <w:rStyle w:val="char12"/>
                      </w:rPr>
                    </w:r>
                    <w:r>
                      <w:rPr>
                        <w:rStyle w:val="char12"/>
                      </w:rPr>
                      <w:fldChar w:fldCharType="begin"/>
                      <w:instrText xml:space="preserve"> PAGE </w:instrText>
                      <w:fldChar w:fldCharType="separate"/>
                      <w:t>35</w:t>
                      <w:fldChar w:fldCharType="end"/>
                    </w:r>
                    <w:r/>
                  </w:p>
                </w:txbxContent>
              </v:textbox>
            </v:rect>
          </w:pict>
        </mc:Fallback>
      </mc:AlternateContent>
    </w: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30"/>
    </w:p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30"/>
    </w:pP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30"/>
    </w:p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Нумерованный список 7"/>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2">
    <w:multiLevelType w:val="hybridMultilevel"/>
    <w:name w:val="Нумерованный список 6"/>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3">
    <w:multiLevelType w:val="hybridMultilevel"/>
    <w:name w:val="Нумерованный список 2"/>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4">
    <w:multiLevelType w:val="hybridMultilevel"/>
    <w:name w:val="Нумерованный список 1"/>
    <w:lvl w:ilvl="0">
      <w:start w:val="1"/>
      <w:numFmt w:val="none"/>
      <w:pStyle w:val="para1"/>
      <w:suff w:val="nothing"/>
      <w:lvlText w:val=""/>
      <w:lvlJc w:val="left"/>
      <w:pPr>
        <w:ind w:left="0" w:hanging="0"/>
      </w:pPr>
    </w:lvl>
    <w:lvl w:ilvl="1">
      <w:start w:val="1"/>
      <w:numFmt w:val="none"/>
      <w:pStyle w:val="para2"/>
      <w:suff w:val="nothing"/>
      <w:lvlText w:val=""/>
      <w:lvlJc w:val="left"/>
      <w:pPr>
        <w:ind w:left="0" w:hanging="0"/>
      </w:pPr>
    </w:lvl>
    <w:lvl w:ilvl="2">
      <w:start w:val="1"/>
      <w:numFmt w:val="none"/>
      <w:pStyle w:val="para3"/>
      <w:suff w:val="nothing"/>
      <w:lvlText w:val=""/>
      <w:lvlJc w:val="left"/>
      <w:pPr>
        <w:ind w:left="0" w:hanging="0"/>
      </w:pPr>
    </w:lvl>
    <w:lvl w:ilvl="3">
      <w:start w:val="1"/>
      <w:numFmt w:val="none"/>
      <w:pStyle w:val="para4"/>
      <w:suff w:val="nothing"/>
      <w:lvlText w:val=""/>
      <w:lvlJc w:val="left"/>
      <w:pPr>
        <w:ind w:left="0" w:hanging="0"/>
      </w:pPr>
    </w:lvl>
    <w:lvl w:ilvl="4">
      <w:start w:val="1"/>
      <w:numFmt w:val="none"/>
      <w:pStyle w:val="para5"/>
      <w:suff w:val="nothing"/>
      <w:lvlText w:val=""/>
      <w:lvlJc w:val="left"/>
      <w:pPr>
        <w:ind w:left="0" w:hanging="0"/>
      </w:pPr>
    </w:lvl>
    <w:lvl w:ilvl="5">
      <w:start w:val="1"/>
      <w:numFmt w:val="none"/>
      <w:pStyle w:val="para6"/>
      <w:suff w:val="nothing"/>
      <w:lvlText w:val=""/>
      <w:lvlJc w:val="left"/>
      <w:pPr>
        <w:ind w:left="0" w:hanging="0"/>
      </w:pPr>
    </w:lvl>
    <w:lvl w:ilvl="6">
      <w:start w:val="1"/>
      <w:numFmt w:val="none"/>
      <w:pStyle w:val="para7"/>
      <w:suff w:val="nothing"/>
      <w:lvlText w:val=""/>
      <w:lvlJc w:val="left"/>
      <w:pPr>
        <w:ind w:left="0" w:hanging="0"/>
      </w:pPr>
    </w:lvl>
    <w:lvl w:ilvl="7">
      <w:start w:val="1"/>
      <w:numFmt w:val="none"/>
      <w:pStyle w:val="para8"/>
      <w:suff w:val="nothing"/>
      <w:lvlText w:val=""/>
      <w:lvlJc w:val="left"/>
      <w:pPr>
        <w:ind w:left="0" w:hanging="0"/>
      </w:pPr>
    </w:lvl>
    <w:lvl w:ilvl="8">
      <w:start w:val="1"/>
      <w:numFmt w:val="none"/>
      <w:pStyle w:val="para9"/>
      <w:suff w:val="nothing"/>
      <w:lvlText w:val=""/>
      <w:lvlJc w:val="left"/>
      <w:pPr>
        <w:ind w:left="0" w:hanging="0"/>
      </w:pPr>
    </w:lvl>
  </w:abstractNum>
  <w:abstractNum w:abstractNumId="5">
    <w:multiLevelType w:val="hybridMultilevel"/>
    <w:name w:val="Нумерованный список 4"/>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6">
    <w:multiLevelType w:val="hybridMultilevel"/>
    <w:name w:val="Нумерованный список 3"/>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7">
    <w:multiLevelType w:val="hybridMultilevel"/>
    <w:name w:val="WW8Num3"/>
    <w:lvl w:ilvl="0">
      <w:start w:val="1"/>
      <w:numFmt w:val="decimal"/>
      <w:suff w:val="tab"/>
      <w:lvlText w:val="%1."/>
      <w:lvlJc w:val="left"/>
      <w:pPr>
        <w:ind w:left="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8">
    <w:multiLevelType w:val="hybridMultilevel"/>
    <w:name w:val="Нумерованный список 8"/>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9">
    <w:multiLevelType w:val="hybridMultilevel"/>
    <w:name w:val="Нумерованный список 5"/>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10">
    <w:multiLevelType w:val="hybridMultilevel"/>
    <w:name w:val="WW8Num2"/>
    <w:lvl w:ilvl="0">
      <w:numFmt w:val="bullet"/>
      <w:suff w:val="tab"/>
      <w:lvlText w:val="·"/>
      <w:lvlJc w:val="left"/>
      <w:pPr>
        <w:ind w:left="360" w:hanging="0"/>
      </w:pPr>
      <w:rPr>
        <w:rFonts w:ascii="Symbol" w:hAnsi="Symbol" w:eastAsia="Symbol" w:cs="Symbol"/>
        <w:b w:val="0"/>
      </w:rPr>
    </w:lvl>
    <w:lvl w:ilvl="1">
      <w:numFmt w:val="bullet"/>
      <w:suff w:val="tab"/>
      <w:lvlText w:val="◦"/>
      <w:lvlJc w:val="left"/>
      <w:pPr>
        <w:ind w:left="720" w:hanging="0"/>
      </w:pPr>
      <w:rPr>
        <w:rFonts w:ascii="OpenSymbol" w:hAnsi="OpenSymbol" w:eastAsia="OpenSymbol" w:cs="OpenSymbol"/>
      </w:rPr>
    </w:lvl>
    <w:lvl w:ilvl="2">
      <w:numFmt w:val="bullet"/>
      <w:suff w:val="tab"/>
      <w:lvlText w:val="▪"/>
      <w:lvlJc w:val="left"/>
      <w:pPr>
        <w:ind w:left="1080" w:hanging="0"/>
      </w:pPr>
      <w:rPr>
        <w:rFonts w:ascii="OpenSymbol" w:hAnsi="OpenSymbol" w:eastAsia="OpenSymbol" w:cs="OpenSymbol"/>
      </w:rPr>
    </w:lvl>
    <w:lvl w:ilvl="3">
      <w:numFmt w:val="bullet"/>
      <w:suff w:val="tab"/>
      <w:lvlText w:val="·"/>
      <w:lvlJc w:val="left"/>
      <w:pPr>
        <w:ind w:left="1440" w:hanging="0"/>
      </w:pPr>
      <w:rPr>
        <w:rFonts w:ascii="Symbol" w:hAnsi="Symbol" w:eastAsia="Symbol" w:cs="Symbol"/>
        <w:b w:val="0"/>
      </w:rPr>
    </w:lvl>
    <w:lvl w:ilvl="4">
      <w:numFmt w:val="bullet"/>
      <w:suff w:val="tab"/>
      <w:lvlText w:val="◦"/>
      <w:lvlJc w:val="left"/>
      <w:pPr>
        <w:ind w:left="1800" w:hanging="0"/>
      </w:pPr>
      <w:rPr>
        <w:rFonts w:ascii="OpenSymbol" w:hAnsi="OpenSymbol" w:eastAsia="OpenSymbol" w:cs="OpenSymbol"/>
      </w:rPr>
    </w:lvl>
    <w:lvl w:ilvl="5">
      <w:numFmt w:val="bullet"/>
      <w:suff w:val="tab"/>
      <w:lvlText w:val="▪"/>
      <w:lvlJc w:val="left"/>
      <w:pPr>
        <w:ind w:left="2160" w:hanging="0"/>
      </w:pPr>
      <w:rPr>
        <w:rFonts w:ascii="OpenSymbol" w:hAnsi="OpenSymbol" w:eastAsia="OpenSymbol" w:cs="OpenSymbol"/>
      </w:rPr>
    </w:lvl>
    <w:lvl w:ilvl="6">
      <w:numFmt w:val="bullet"/>
      <w:suff w:val="tab"/>
      <w:lvlText w:val="·"/>
      <w:lvlJc w:val="left"/>
      <w:pPr>
        <w:ind w:left="2520" w:hanging="0"/>
      </w:pPr>
      <w:rPr>
        <w:rFonts w:ascii="Symbol" w:hAnsi="Symbol" w:eastAsia="Symbol" w:cs="Symbol"/>
        <w:b w:val="0"/>
      </w:rPr>
    </w:lvl>
    <w:lvl w:ilvl="7">
      <w:numFmt w:val="bullet"/>
      <w:suff w:val="tab"/>
      <w:lvlText w:val="◦"/>
      <w:lvlJc w:val="left"/>
      <w:pPr>
        <w:ind w:left="2880" w:hanging="0"/>
      </w:pPr>
      <w:rPr>
        <w:rFonts w:ascii="OpenSymbol" w:hAnsi="OpenSymbol" w:eastAsia="OpenSymbol" w:cs="OpenSymbol"/>
      </w:rPr>
    </w:lvl>
    <w:lvl w:ilvl="8">
      <w:numFmt w:val="bullet"/>
      <w:suff w:val="tab"/>
      <w:lvlText w:val="▪"/>
      <w:lvlJc w:val="left"/>
      <w:pPr>
        <w:ind w:left="3240" w:hanging="0"/>
      </w:pPr>
      <w:rPr>
        <w:rFonts w:ascii="OpenSymbol" w:hAnsi="OpenSymbol" w:eastAsia="OpenSymbol" w:cs="OpenSymbol"/>
      </w:rPr>
    </w:lvl>
  </w:abstractNum>
  <w:abstractNum w:abstractNumId="11">
    <w:multiLevelType w:val="hybridMultilevel"/>
    <w:name w:val="Нумерованный список 11"/>
    <w:lvl w:ilvl="0">
      <w:numFmt w:val="bullet"/>
      <w:suff w:val="tab"/>
      <w:lvlText w:val="·"/>
      <w:lvlJc w:val="left"/>
      <w:pPr>
        <w:ind w:left="360" w:hanging="0"/>
      </w:pPr>
      <w:rPr>
        <w:rFonts w:ascii="Symbol" w:hAnsi="Symbol" w:eastAsia="Calibri" w:cs="Times New Roman"/>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view w:val="print"/>
  <w:defaultTabStop w:val="720"/>
  <w:autoHyphenation w:val="0"/>
  <w:doNotShadeFormData w:val="0"/>
  <w:captions>
    <w:caption w:name="Таблица" w:pos="below" w:numFmt="decimal"/>
    <w:caption w:name="Рисунок" w:pos="below" w:numFmt="decimal"/>
    <w:caption w:name="Изображение"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7170"/>
    <o:shapelayout v:ext="edit">
      <o:rules v:ext="edit"/>
    </o:shapelayout>
  </w:shapeDefaults>
  <w:tmPrefOne w:val="17"/>
  <w:tmPrefTwo w:val="1"/>
  <w:tmFmtPref w:val="55090283"/>
  <w:tmCommentsPr>
    <w:tmCommentsPlace w:val="0"/>
    <w:tmCommentsWidth w:val="3119"/>
    <w:tmCommentsColor w:val="-1"/>
  </w:tmCommentsPr>
  <w:tmReviewPr>
    <w:tmReviewEnabled w:val="0"/>
    <w:tmReviewShow w:val="1"/>
    <w:tmReviewPrint w:val="0"/>
    <w:tmRevisionNum w:val="141"/>
    <w:tmReviewMarkIns w:val="4"/>
    <w:tmReviewColorIns w:val="-1"/>
    <w:tmReviewMarkDel w:val="7"/>
    <w:tmReviewColorDel w:val="-1"/>
    <w:tmReviewMarkFmt w:val="7"/>
    <w:tmReviewColorFmt w:val="-1"/>
    <w:tmReviewMarkLn w:val="1"/>
    <w:tmReviewColorLn w:val="0"/>
    <w:tmReviewToolTip w:val="1"/>
  </w:tmReviewPr>
  <w:tmLastPos>
    <w:tmLastPosPage w:val="1"/>
    <w:tmLastPosSelect w:val="1"/>
    <w:tmLastPosFrameIdx w:val="36"/>
    <w:tmLastPosCaret>
      <w:tmLastPosPgfIdx w:val="0"/>
      <w:tmLastPosIdx w:val="0"/>
    </w:tmLastPosCaret>
    <w:tmLastPosAnchor>
      <w:tmLastPosPgfIdx w:val="0"/>
      <w:tmLastPosIdx w:val="5"/>
    </w:tmLastPosAnchor>
    <w:tmLastPosTblRect w:left="0" w:top="0" w:right="0" w:bottom="0"/>
  </w:tmLastPos>
  <w:tmAppRevision w:date="1781060902" w:val="1215" w:fileVer="342" w:fileVer64="64" w:fileVerOS="3"/>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sz w:val="20"/>
        <w:szCs w:val="20"/>
        <w:lang w:val="ru-ru" w:eastAsia="zh-cn" w:bidi="ar-sa"/>
      </w:rPr>
    </w:rPrDefault>
    <w:pPrDefault>
      <w:pPr>
        <w:suppressAutoHyphens/>
        <w:hyphenationLines w:val="0"/>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numPr>
        <w:ilvl w:val="0"/>
        <w:numId w:val="4"/>
      </w:numPr>
      <w:ind w:left="0" w:firstLine="0"/>
      <w:spacing/>
      <w:jc w:val="center"/>
      <w:keepNext/>
      <w:outlineLvl w:val="0"/>
      <w:widowControl/>
      <w:tabs defTabSz="720">
        <w:tab w:val="left" w:pos="0" w:leader="none"/>
      </w:tabs>
    </w:pPr>
    <w:rPr>
      <w:b/>
      <w:sz w:val="24"/>
    </w:rPr>
  </w:style>
  <w:style w:type="paragraph" w:styleId="para2">
    <w:name w:val="heading 2"/>
    <w:qFormat/>
    <w:basedOn w:val="para0"/>
    <w:next w:val="para0"/>
    <w:pPr>
      <w:numPr>
        <w:ilvl w:val="1"/>
        <w:numId w:val="4"/>
      </w:numPr>
      <w:ind w:left="0" w:firstLine="0"/>
      <w:keepNext/>
      <w:outlineLvl w:val="1"/>
      <w:widowControl/>
      <w:tabs defTabSz="720">
        <w:tab w:val="left" w:pos="0" w:leader="none"/>
      </w:tabs>
    </w:pPr>
    <w:rPr>
      <w:sz w:val="24"/>
    </w:rPr>
  </w:style>
  <w:style w:type="paragraph" w:styleId="para3">
    <w:name w:val="heading 3"/>
    <w:qFormat/>
    <w:basedOn w:val="para0"/>
    <w:next w:val="para0"/>
    <w:pPr>
      <w:numPr>
        <w:ilvl w:val="2"/>
        <w:numId w:val="4"/>
      </w:numPr>
      <w:ind w:left="0" w:firstLine="0"/>
      <w:spacing/>
      <w:jc w:val="both"/>
      <w:keepNext/>
      <w:outlineLvl w:val="2"/>
      <w:widowControl/>
      <w:tabs defTabSz="720">
        <w:tab w:val="left" w:pos="0" w:leader="none"/>
      </w:tabs>
    </w:pPr>
    <w:rPr>
      <w:sz w:val="24"/>
    </w:rPr>
  </w:style>
  <w:style w:type="paragraph" w:styleId="para4">
    <w:name w:val="heading 4"/>
    <w:qFormat/>
    <w:basedOn w:val="para0"/>
    <w:next w:val="para0"/>
    <w:pPr>
      <w:numPr>
        <w:ilvl w:val="3"/>
        <w:numId w:val="4"/>
      </w:numPr>
      <w:ind w:left="0" w:firstLine="0"/>
      <w:keepNext/>
      <w:outlineLvl w:val="3"/>
      <w:widowControl/>
      <w:tabs defTabSz="720">
        <w:tab w:val="left" w:pos="0" w:leader="none"/>
      </w:tabs>
    </w:pPr>
    <w:rPr>
      <w:b/>
    </w:rPr>
  </w:style>
  <w:style w:type="paragraph" w:styleId="para5">
    <w:name w:val="heading 5"/>
    <w:qFormat/>
    <w:basedOn w:val="para0"/>
    <w:next w:val="para0"/>
    <w:pPr>
      <w:numPr>
        <w:ilvl w:val="4"/>
        <w:numId w:val="4"/>
      </w:numPr>
      <w:ind w:left="0" w:firstLine="0"/>
      <w:spacing/>
      <w:jc w:val="center"/>
      <w:keepNext/>
      <w:outlineLvl w:val="4"/>
      <w:widowControl/>
      <w:tabs defTabSz="720">
        <w:tab w:val="left" w:pos="0" w:leader="none"/>
      </w:tabs>
    </w:pPr>
    <w:rPr>
      <w:b/>
    </w:rPr>
  </w:style>
  <w:style w:type="paragraph" w:styleId="para6">
    <w:name w:val="heading 6"/>
    <w:qFormat/>
    <w:basedOn w:val="para0"/>
    <w:next w:val="para0"/>
    <w:pPr>
      <w:numPr>
        <w:ilvl w:val="5"/>
        <w:numId w:val="4"/>
      </w:numPr>
      <w:ind w:left="0" w:firstLine="0"/>
      <w:spacing/>
      <w:jc w:val="both"/>
      <w:keepNext/>
      <w:outlineLvl w:val="5"/>
      <w:widowControl/>
      <w:tabs defTabSz="720">
        <w:tab w:val="left" w:pos="0" w:leader="none"/>
      </w:tabs>
    </w:pPr>
    <w:rPr>
      <w:b/>
    </w:rPr>
  </w:style>
  <w:style w:type="paragraph" w:styleId="para7">
    <w:name w:val="heading 7"/>
    <w:qFormat/>
    <w:basedOn w:val="para0"/>
    <w:next w:val="para0"/>
    <w:pPr>
      <w:numPr>
        <w:ilvl w:val="6"/>
        <w:numId w:val="4"/>
      </w:numPr>
      <w:ind w:left="0" w:firstLine="0"/>
      <w:spacing/>
      <w:jc w:val="both"/>
      <w:keepNext/>
      <w:outlineLvl w:val="6"/>
      <w:widowControl/>
      <w:tabs defTabSz="720">
        <w:tab w:val="left" w:pos="0" w:leader="none"/>
      </w:tabs>
    </w:pPr>
    <w:rPr>
      <w:b/>
      <w:sz w:val="24"/>
    </w:rPr>
  </w:style>
  <w:style w:type="paragraph" w:styleId="para8">
    <w:name w:val="heading 8"/>
    <w:qFormat/>
    <w:basedOn w:val="para0"/>
    <w:next w:val="para0"/>
    <w:pPr>
      <w:numPr>
        <w:ilvl w:val="7"/>
        <w:numId w:val="4"/>
      </w:numPr>
      <w:ind w:left="0" w:firstLine="0"/>
      <w:spacing/>
      <w:jc w:val="center"/>
      <w:keepNext/>
      <w:outlineLvl w:val="7"/>
      <w:widowControl/>
      <w:tabs defTabSz="720">
        <w:tab w:val="left" w:pos="0" w:leader="none"/>
      </w:tabs>
    </w:pPr>
    <w:rPr>
      <w:b/>
      <w:sz w:val="22"/>
    </w:rPr>
  </w:style>
  <w:style w:type="paragraph" w:styleId="para9">
    <w:name w:val="heading 9"/>
    <w:qFormat/>
    <w:basedOn w:val="para0"/>
    <w:next w:val="para0"/>
    <w:pPr>
      <w:numPr>
        <w:ilvl w:val="8"/>
        <w:numId w:val="4"/>
      </w:numPr>
      <w:ind w:left="174" w:firstLine="0"/>
      <w:keepNext/>
      <w:outlineLvl w:val="8"/>
      <w:widowControl/>
      <w:tabs defTabSz="720">
        <w:tab w:val="left" w:pos="0" w:leader="none"/>
      </w:tabs>
    </w:pPr>
    <w:rPr>
      <w:rFonts w:ascii="Arial" w:hAnsi="Arial" w:cs="Arial"/>
      <w:sz w:val="24"/>
    </w:rPr>
  </w:style>
  <w:style w:type="paragraph" w:styleId="para10" w:customStyle="1">
    <w:name w:val="Заголовок4"/>
    <w:qFormat/>
    <w:basedOn w:val="para0"/>
    <w:next w:val="para11"/>
    <w:pPr>
      <w:spacing w:before="240" w:after="120"/>
      <w:keepNext/>
    </w:pPr>
    <w:rPr>
      <w:rFonts w:ascii="PT Astra Serif" w:hAnsi="PT Astra Serif" w:eastAsia="Tahoma" w:cs="Noto Sans Devanagari"/>
      <w:sz w:val="28"/>
      <w:szCs w:val="28"/>
    </w:rPr>
  </w:style>
  <w:style w:type="paragraph" w:styleId="para11">
    <w:name w:val="Body Text"/>
    <w:qFormat/>
    <w:basedOn w:val="para0"/>
    <w:pPr>
      <w:spacing w:after="120"/>
      <w:widowControl/>
    </w:pPr>
    <w:rPr>
      <w:sz w:val="24"/>
      <w:szCs w:val="24"/>
    </w:rPr>
  </w:style>
  <w:style w:type="paragraph" w:styleId="para12">
    <w:name w:val="List"/>
    <w:qFormat/>
    <w:basedOn w:val="para11"/>
    <w:rPr>
      <w:rFonts w:ascii="PT Astra Serif" w:hAnsi="PT Astra Serif" w:cs="Noto Sans Devanagari"/>
    </w:rPr>
  </w:style>
  <w:style w:type="paragraph" w:styleId="para13">
    <w:name w:val="caption"/>
    <w:qFormat/>
    <w:basedOn w:val="para0"/>
    <w:pPr>
      <w:spacing w:before="120" w:after="120"/>
      <w:suppressLineNumbers/>
    </w:pPr>
    <w:rPr>
      <w:rFonts w:ascii="PT Astra Serif" w:hAnsi="PT Astra Serif" w:cs="Noto Sans Devanagari"/>
      <w:i/>
      <w:iCs/>
      <w:sz w:val="24"/>
      <w:szCs w:val="24"/>
    </w:rPr>
  </w:style>
  <w:style w:type="paragraph" w:styleId="para14" w:customStyle="1">
    <w:name w:val="Указатель4"/>
    <w:qFormat/>
    <w:basedOn w:val="para0"/>
    <w:pPr>
      <w:suppressLineNumbers/>
    </w:pPr>
    <w:rPr>
      <w:rFonts w:ascii="PT Astra Serif" w:hAnsi="PT Astra Serif" w:cs="Noto Sans Devanagari"/>
    </w:rPr>
  </w:style>
  <w:style w:type="paragraph" w:styleId="para15" w:customStyle="1">
    <w:name w:val="Заголовок3"/>
    <w:qFormat/>
    <w:basedOn w:val="para0"/>
    <w:next w:val="para11"/>
    <w:pPr>
      <w:spacing w:before="240" w:after="120"/>
      <w:keepNext/>
    </w:pPr>
    <w:rPr>
      <w:rFonts w:ascii="PT Astra Serif" w:hAnsi="PT Astra Serif" w:eastAsia="Tahoma" w:cs="Noto Sans Devanagari"/>
      <w:sz w:val="28"/>
      <w:szCs w:val="28"/>
    </w:rPr>
  </w:style>
  <w:style w:type="paragraph" w:styleId="para16" w:customStyle="1">
    <w:name w:val="Название объекта3"/>
    <w:qFormat/>
    <w:basedOn w:val="para0"/>
    <w:pPr>
      <w:spacing w:before="120" w:after="120"/>
      <w:suppressLineNumbers/>
    </w:pPr>
    <w:rPr>
      <w:rFonts w:ascii="PT Astra Serif" w:hAnsi="PT Astra Serif" w:cs="Noto Sans Devanagari"/>
      <w:i/>
      <w:iCs/>
      <w:sz w:val="24"/>
      <w:szCs w:val="24"/>
    </w:rPr>
  </w:style>
  <w:style w:type="paragraph" w:styleId="para17" w:customStyle="1">
    <w:name w:val="Указатель3"/>
    <w:qFormat/>
    <w:basedOn w:val="para0"/>
    <w:pPr>
      <w:suppressLineNumbers/>
    </w:pPr>
    <w:rPr>
      <w:rFonts w:ascii="PT Astra Serif" w:hAnsi="PT Astra Serif" w:cs="Noto Sans Devanagari"/>
    </w:rPr>
  </w:style>
  <w:style w:type="paragraph" w:styleId="para18" w:customStyle="1">
    <w:name w:val="Заголовок2"/>
    <w:qFormat/>
    <w:basedOn w:val="para0"/>
    <w:next w:val="para11"/>
    <w:pPr>
      <w:spacing w:before="240" w:after="120"/>
      <w:keepNext/>
    </w:pPr>
    <w:rPr>
      <w:rFonts w:ascii="PT Astra Serif" w:hAnsi="PT Astra Serif" w:eastAsia="Tahoma" w:cs="Noto Sans Devanagari"/>
      <w:sz w:val="28"/>
      <w:szCs w:val="28"/>
    </w:rPr>
  </w:style>
  <w:style w:type="paragraph" w:styleId="para19" w:customStyle="1">
    <w:name w:val="Название объекта2"/>
    <w:qFormat/>
    <w:basedOn w:val="para0"/>
    <w:pPr>
      <w:spacing w:before="120" w:after="120"/>
      <w:suppressLineNumbers/>
    </w:pPr>
    <w:rPr>
      <w:rFonts w:ascii="PT Astra Serif" w:hAnsi="PT Astra Serif" w:cs="Noto Sans Devanagari"/>
      <w:i/>
      <w:iCs/>
      <w:sz w:val="24"/>
      <w:szCs w:val="24"/>
    </w:rPr>
  </w:style>
  <w:style w:type="paragraph" w:styleId="para20" w:customStyle="1">
    <w:name w:val="Указатель2"/>
    <w:qFormat/>
    <w:basedOn w:val="para0"/>
    <w:pPr>
      <w:suppressLineNumbers/>
    </w:pPr>
    <w:rPr>
      <w:rFonts w:ascii="PT Astra Serif" w:hAnsi="PT Astra Serif" w:cs="Noto Sans Devanagari"/>
    </w:rPr>
  </w:style>
  <w:style w:type="paragraph" w:styleId="para21" w:customStyle="1">
    <w:name w:val="Заголовок1"/>
    <w:qFormat/>
    <w:basedOn w:val="para0"/>
    <w:next w:val="para11"/>
    <w:pPr>
      <w:spacing/>
      <w:jc w:val="center"/>
      <w:widowControl/>
    </w:pPr>
    <w:rPr>
      <w:b/>
      <w:sz w:val="24"/>
    </w:rPr>
  </w:style>
  <w:style w:type="paragraph" w:styleId="para22" w:customStyle="1">
    <w:name w:val="Название объекта1"/>
    <w:qFormat/>
    <w:basedOn w:val="para0"/>
    <w:pPr>
      <w:spacing w:before="120" w:after="120"/>
      <w:suppressLineNumbers/>
    </w:pPr>
    <w:rPr>
      <w:rFonts w:ascii="PT Astra Serif" w:hAnsi="PT Astra Serif" w:cs="Noto Sans Devanagari"/>
      <w:i/>
      <w:iCs/>
      <w:sz w:val="24"/>
      <w:szCs w:val="24"/>
    </w:rPr>
  </w:style>
  <w:style w:type="paragraph" w:styleId="para23" w:customStyle="1">
    <w:name w:val="Указатель1"/>
    <w:qFormat/>
    <w:basedOn w:val="para0"/>
    <w:pPr>
      <w:suppressLineNumbers/>
    </w:pPr>
    <w:rPr>
      <w:rFonts w:ascii="PT Astra Serif" w:hAnsi="PT Astra Serif" w:cs="Noto Sans Devanagari"/>
    </w:rPr>
  </w:style>
  <w:style w:type="paragraph" w:styleId="para24" w:customStyle="1">
    <w:name w:val="FR1"/>
    <w:qFormat/>
    <w:rPr>
      <w:rFonts w:ascii="Arial" w:hAnsi="Arial" w:eastAsia="Times New Roman" w:cs="Arial"/>
      <w:sz w:val="22"/>
      <w:lang w:val="ru-ru" w:eastAsia="zh-cn" w:bidi="ar-sa"/>
    </w:rPr>
  </w:style>
  <w:style w:type="paragraph" w:styleId="para25">
    <w:name w:val="Body Text Indent"/>
    <w:qFormat/>
    <w:basedOn w:val="para0"/>
    <w:pPr>
      <w:ind w:firstLine="720"/>
      <w:widowControl/>
    </w:pPr>
    <w:rPr>
      <w:sz w:val="28"/>
    </w:rPr>
  </w:style>
  <w:style w:type="paragraph" w:styleId="para26" w:customStyle="1">
    <w:name w:val="Основной текст 31"/>
    <w:qFormat/>
    <w:basedOn w:val="para0"/>
    <w:pPr>
      <w:widowControl/>
    </w:pPr>
    <w:rPr>
      <w:sz w:val="28"/>
    </w:rPr>
  </w:style>
  <w:style w:type="paragraph" w:styleId="para27" w:customStyle="1">
    <w:name w:val="Основной текст с отступом 21"/>
    <w:qFormat/>
    <w:basedOn w:val="para0"/>
    <w:pPr>
      <w:ind w:left="283"/>
      <w:spacing w:after="120" w:line="480" w:lineRule="auto"/>
      <w:widowControl/>
    </w:pPr>
    <w:rPr>
      <w:sz w:val="24"/>
      <w:szCs w:val="24"/>
    </w:rPr>
  </w:style>
  <w:style w:type="paragraph" w:styleId="para28" w:customStyle="1">
    <w:name w:val="Основной текст 21"/>
    <w:qFormat/>
    <w:basedOn w:val="para0"/>
    <w:pPr>
      <w:spacing w:after="120" w:line="480" w:lineRule="auto"/>
    </w:pPr>
  </w:style>
  <w:style w:type="paragraph" w:styleId="para29" w:customStyle="1">
    <w:name w:val="Колонтитул"/>
    <w:qFormat/>
    <w:basedOn w:val="para0"/>
    <w:pPr>
      <w:suppressLineNumbers/>
      <w:tabs defTabSz="720">
        <w:tab w:val="center" w:pos="4819" w:leader="none"/>
        <w:tab w:val="right" w:pos="9638" w:leader="none"/>
      </w:tabs>
    </w:pPr>
  </w:style>
  <w:style w:type="paragraph" w:styleId="para30">
    <w:name w:val="Header"/>
    <w:qFormat/>
    <w:basedOn w:val="para0"/>
    <w:pPr>
      <w:widowControl/>
      <w:tabs defTabSz="720">
        <w:tab w:val="center" w:pos="4153" w:leader="none"/>
        <w:tab w:val="right" w:pos="8306" w:leader="none"/>
      </w:tabs>
    </w:pPr>
  </w:style>
  <w:style w:type="paragraph" w:styleId="para31" w:customStyle="1">
    <w:name w:val="Body Text 2*"/>
    <w:qFormat/>
    <w:basedOn w:val="para0"/>
    <w:pPr>
      <w:ind w:firstLine="720"/>
      <w:spacing/>
      <w:jc w:val="both"/>
      <w:widowControl/>
    </w:pPr>
    <w:rPr>
      <w:sz w:val="24"/>
    </w:rPr>
  </w:style>
  <w:style w:type="paragraph" w:styleId="para32" w:customStyle="1">
    <w:name w:val="Body Text 21"/>
    <w:qFormat/>
    <w:basedOn w:val="para0"/>
    <w:pPr>
      <w:ind w:right="328" w:firstLine="283"/>
      <w:spacing/>
      <w:jc w:val="both"/>
      <w:widowControl/>
    </w:pPr>
    <w:rPr>
      <w:sz w:val="24"/>
    </w:rPr>
  </w:style>
  <w:style w:type="paragraph" w:styleId="para33">
    <w:name w:val="Footer"/>
    <w:qFormat/>
    <w:basedOn w:val="para0"/>
    <w:pPr>
      <w:widowControl/>
      <w:tabs defTabSz="720">
        <w:tab w:val="center" w:pos="4153" w:leader="none"/>
        <w:tab w:val="right" w:pos="8306" w:leader="none"/>
      </w:tabs>
    </w:pPr>
  </w:style>
  <w:style w:type="paragraph" w:styleId="para34" w:customStyle="1">
    <w:name w:val="xl22"/>
    <w:qFormat/>
    <w:basedOn w:val="para0"/>
    <w:pPr>
      <w:spacing w:before="100" w:after="100"/>
      <w:jc w:val="right"/>
      <w:widowControl/>
    </w:pPr>
    <w:rPr>
      <w:sz w:val="24"/>
      <w:szCs w:val="24"/>
    </w:rPr>
  </w:style>
  <w:style w:type="paragraph" w:styleId="para35" w:customStyle="1">
    <w:name w:val="xl24"/>
    <w:qFormat/>
    <w:basedOn w:val="para0"/>
    <w:pPr>
      <w:spacing w:before="100" w:after="100"/>
      <w:jc w:val="center"/>
      <w:widowControl/>
      <w:pBdr>
        <w:top w:val="nil" w:sz="0" w:space="3" w:color="000000" tmln="20, 20, 20, 0, 60"/>
        <w:left w:val="nil" w:sz="0" w:space="3" w:color="000000" tmln="20, 20, 20, 0, 60"/>
        <w:bottom w:val="single" w:sz="4" w:space="0" w:color="000000" tmln="10, 20, 20, 0, 0"/>
        <w:right w:val="single" w:sz="4" w:space="0" w:color="000000" tmln="10, 20, 20, 0, 0"/>
        <w:between w:val="nil" w:sz="0" w:space="0" w:color="000000" tmln="20, 20, 20, 0, 0"/>
      </w:pBdr>
      <w:shd w:val="none"/>
    </w:pPr>
    <w:rPr>
      <w:rFonts w:ascii="Arial" w:hAnsi="Arial" w:cs="Arial"/>
      <w:sz w:val="22"/>
      <w:szCs w:val="22"/>
    </w:rPr>
  </w:style>
  <w:style w:type="paragraph" w:styleId="para36" w:customStyle="1">
    <w:name w:val="xl25"/>
    <w:qFormat/>
    <w:basedOn w:val="para0"/>
    <w:pPr>
      <w:spacing w:before="100" w:after="100"/>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sz w:val="22"/>
      <w:szCs w:val="22"/>
    </w:rPr>
  </w:style>
  <w:style w:type="paragraph" w:styleId="para37" w:customStyle="1">
    <w:name w:val="xl26"/>
    <w:qFormat/>
    <w:basedOn w:val="para0"/>
    <w:pPr>
      <w:spacing w:before="100" w:after="100"/>
      <w:jc w:val="center"/>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38" w:customStyle="1">
    <w:name w:val="xl27"/>
    <w:qFormat/>
    <w:basedOn w:val="para0"/>
    <w:pPr>
      <w:spacing w:before="100" w:after="100"/>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39" w:customStyle="1">
    <w:name w:val="xl28"/>
    <w:qFormat/>
    <w:basedOn w:val="para0"/>
    <w:pPr>
      <w:spacing w:before="100" w:after="100"/>
      <w:jc w:val="center"/>
      <w:widowControl/>
    </w:pPr>
    <w:rPr>
      <w:rFonts w:ascii="Arial" w:hAnsi="Arial" w:cs="Arial"/>
      <w:b/>
      <w:bCs/>
      <w:sz w:val="32"/>
      <w:szCs w:val="32"/>
    </w:rPr>
  </w:style>
  <w:style w:type="paragraph" w:styleId="para40" w:customStyle="1">
    <w:name w:val="xl29"/>
    <w:qFormat/>
    <w:basedOn w:val="para0"/>
    <w:pPr>
      <w:spacing w:before="100" w:after="100"/>
      <w:jc w:val="right"/>
      <w:widowControl/>
      <w:pBdr>
        <w:top w:val="nil" w:sz="0" w:space="3" w:color="000000" tmln="20, 20, 20, 0, 60"/>
        <w:left w:val="nil" w:sz="0" w:space="3" w:color="000000" tmln="20, 20, 20, 0, 6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41" w:customStyle="1">
    <w:name w:val="xl30"/>
    <w:qFormat/>
    <w:basedOn w:val="para0"/>
    <w:pPr>
      <w:spacing w:before="100" w:after="100"/>
      <w:jc w:val="center"/>
      <w:widowControl/>
      <w:pBdr>
        <w:top w:val="nil" w:sz="0" w:space="3" w:color="000000" tmln="20, 20, 20, 0, 60"/>
        <w:left w:val="nil" w:sz="0" w:space="3" w:color="000000" tmln="20, 20, 20, 0, 60"/>
        <w:bottom w:val="single" w:sz="4" w:space="0" w:color="000000" tmln="10, 20, 20, 0, 0"/>
        <w:right w:val="single" w:sz="4" w:space="0" w:color="000000" tmln="10, 20, 20, 0, 0"/>
        <w:between w:val="nil" w:sz="0" w:space="0" w:color="000000" tmln="20, 20, 20, 0, 0"/>
      </w:pBdr>
      <w:shd w:val="none"/>
    </w:pPr>
    <w:rPr>
      <w:rFonts w:ascii="Arial" w:hAnsi="Arial" w:cs="Arial"/>
      <w:sz w:val="24"/>
      <w:szCs w:val="24"/>
    </w:rPr>
  </w:style>
  <w:style w:type="paragraph" w:styleId="para42" w:customStyle="1">
    <w:name w:val="xl31"/>
    <w:qFormat/>
    <w:basedOn w:val="para0"/>
    <w:pPr>
      <w:spacing w:before="100" w:after="100"/>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43" w:customStyle="1">
    <w:name w:val="xl32"/>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44" w:customStyle="1">
    <w:name w:val="xl33"/>
    <w:qFormat/>
    <w:basedOn w:val="para0"/>
    <w:pPr>
      <w:spacing w:before="100" w:after="100"/>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45" w:customStyle="1">
    <w:name w:val="xl34"/>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sz w:val="24"/>
      <w:szCs w:val="24"/>
    </w:rPr>
  </w:style>
  <w:style w:type="paragraph" w:styleId="para46" w:customStyle="1">
    <w:name w:val="xl35"/>
    <w:qFormat/>
    <w:basedOn w:val="para0"/>
    <w:pPr>
      <w:spacing w:before="100" w:after="100"/>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sz w:val="24"/>
      <w:szCs w:val="24"/>
    </w:rPr>
  </w:style>
  <w:style w:type="paragraph" w:styleId="para47" w:customStyle="1">
    <w:name w:val="xl36"/>
    <w:qFormat/>
    <w:basedOn w:val="para0"/>
    <w:pPr>
      <w:spacing w:before="100" w:after="100"/>
      <w:jc w:val="right"/>
      <w:widowControl/>
      <w:pBdr>
        <w:top w:val="nil" w:sz="0" w:space="3" w:color="000000" tmln="20, 20, 20, 0, 60"/>
        <w:left w:val="nil" w:sz="0" w:space="3" w:color="000000" tmln="20, 20, 20, 0, 60"/>
        <w:bottom w:val="single" w:sz="4" w:space="0" w:color="000000" tmln="10, 20, 20, 0, 0"/>
        <w:right w:val="single" w:sz="4" w:space="0" w:color="000000" tmln="10, 20, 20, 0, 0"/>
        <w:between w:val="nil" w:sz="0" w:space="0" w:color="000000" tmln="20, 20, 20, 0, 0"/>
      </w:pBdr>
      <w:shd w:val="none"/>
    </w:pPr>
    <w:rPr>
      <w:sz w:val="24"/>
      <w:szCs w:val="24"/>
    </w:rPr>
  </w:style>
  <w:style w:type="paragraph" w:styleId="para48" w:customStyle="1">
    <w:name w:val="xl37"/>
    <w:qFormat/>
    <w:basedOn w:val="para0"/>
    <w:pPr>
      <w:spacing w:before="100" w:after="100"/>
      <w:jc w:val="right"/>
      <w:widowControl/>
      <w:pBdr>
        <w:top w:val="nil" w:sz="0" w:space="3" w:color="000000" tmln="20, 20, 20, 0, 60"/>
        <w:left w:val="nil" w:sz="0" w:space="3" w:color="000000" tmln="20, 20, 20, 0, 60"/>
        <w:bottom w:val="single" w:sz="4" w:space="0" w:color="000000" tmln="10, 20, 20, 0, 0"/>
        <w:right w:val="nil" w:sz="0" w:space="3" w:color="000000" tmln="20, 20, 20, 0, 60"/>
        <w:between w:val="nil" w:sz="0" w:space="0" w:color="000000" tmln="20, 20, 20, 0, 0"/>
      </w:pBdr>
      <w:shd w:val="none"/>
    </w:pPr>
    <w:rPr>
      <w:sz w:val="24"/>
      <w:szCs w:val="24"/>
    </w:rPr>
  </w:style>
  <w:style w:type="paragraph" w:styleId="para49" w:customStyle="1">
    <w:name w:val="xl38"/>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sz w:val="24"/>
      <w:szCs w:val="24"/>
    </w:rPr>
  </w:style>
  <w:style w:type="paragraph" w:styleId="para50" w:customStyle="1">
    <w:name w:val="xl39"/>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sz w:val="24"/>
      <w:szCs w:val="24"/>
    </w:rPr>
  </w:style>
  <w:style w:type="paragraph" w:styleId="para51" w:customStyle="1">
    <w:name w:val="xl40"/>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sz w:val="24"/>
      <w:szCs w:val="24"/>
    </w:rPr>
  </w:style>
  <w:style w:type="paragraph" w:styleId="para52" w:customStyle="1">
    <w:name w:val="xl41"/>
    <w:qFormat/>
    <w:basedOn w:val="para0"/>
    <w:pPr>
      <w:spacing w:before="100" w:after="100"/>
      <w:jc w:val="right"/>
      <w:widowControl/>
      <w:pBdr>
        <w:top w:val="nil" w:sz="0" w:space="3" w:color="000000" tmln="20, 20, 20, 0, 60"/>
        <w:left w:val="nil" w:sz="0" w:space="3" w:color="000000" tmln="20, 20, 20, 0, 60"/>
        <w:bottom w:val="single" w:sz="4" w:space="0" w:color="000000" tmln="10, 20, 20, 0, 0"/>
        <w:right w:val="single" w:sz="4" w:space="0" w:color="000000" tmln="10, 20, 20, 0, 0"/>
        <w:between w:val="nil" w:sz="0" w:space="0" w:color="000000" tmln="20, 20, 20, 0, 0"/>
      </w:pBdr>
      <w:shd w:val="none"/>
    </w:pPr>
    <w:rPr>
      <w:rFonts w:ascii="Arial" w:hAnsi="Arial" w:cs="Arial"/>
      <w:sz w:val="24"/>
      <w:szCs w:val="24"/>
    </w:rPr>
  </w:style>
  <w:style w:type="paragraph" w:styleId="para53" w:customStyle="1">
    <w:name w:val="xl43"/>
    <w:qFormat/>
    <w:basedOn w:val="para0"/>
    <w:pPr>
      <w:spacing w:before="100" w:after="100"/>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sz w:val="24"/>
      <w:szCs w:val="24"/>
    </w:rPr>
  </w:style>
  <w:style w:type="paragraph" w:styleId="para54" w:customStyle="1">
    <w:name w:val="xl44"/>
    <w:qFormat/>
    <w:basedOn w:val="para0"/>
    <w:pPr>
      <w:spacing w:before="100" w:after="100"/>
      <w:jc w:val="right"/>
      <w:widowControl/>
      <w:pBdr>
        <w:top w:val="nil" w:sz="0" w:space="3" w:color="000000" tmln="20, 20, 20, 0, 60"/>
        <w:left w:val="nil" w:sz="0" w:space="3" w:color="000000" tmln="20, 20, 20, 0, 6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55" w:customStyle="1">
    <w:name w:val="xl45"/>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sz w:val="24"/>
      <w:szCs w:val="24"/>
    </w:rPr>
  </w:style>
  <w:style w:type="paragraph" w:styleId="para56" w:customStyle="1">
    <w:name w:val="xl46"/>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sz w:val="24"/>
      <w:szCs w:val="24"/>
    </w:rPr>
  </w:style>
  <w:style w:type="paragraph" w:styleId="para57" w:customStyle="1">
    <w:name w:val="xl47"/>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sz w:val="24"/>
      <w:szCs w:val="24"/>
    </w:rPr>
  </w:style>
  <w:style w:type="paragraph" w:styleId="para58" w:customStyle="1">
    <w:name w:val="xl48"/>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59" w:customStyle="1">
    <w:name w:val="xl49"/>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sz w:val="22"/>
      <w:szCs w:val="22"/>
    </w:rPr>
  </w:style>
  <w:style w:type="paragraph" w:styleId="para60" w:customStyle="1">
    <w:name w:val="xl50"/>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sz w:val="24"/>
      <w:szCs w:val="24"/>
    </w:rPr>
  </w:style>
  <w:style w:type="paragraph" w:styleId="para61" w:customStyle="1">
    <w:name w:val="xl51"/>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sz w:val="24"/>
      <w:szCs w:val="24"/>
    </w:rPr>
  </w:style>
  <w:style w:type="paragraph" w:styleId="para62" w:customStyle="1">
    <w:name w:val="xl52"/>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sz w:val="24"/>
      <w:szCs w:val="24"/>
    </w:rPr>
  </w:style>
  <w:style w:type="paragraph" w:styleId="para63" w:customStyle="1">
    <w:name w:val="xl53"/>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sz w:val="24"/>
      <w:szCs w:val="24"/>
    </w:rPr>
  </w:style>
  <w:style w:type="paragraph" w:styleId="para64" w:customStyle="1">
    <w:name w:val="xl54"/>
    <w:qFormat/>
    <w:basedOn w:val="para0"/>
    <w:pPr>
      <w:spacing w:before="100" w:after="100"/>
      <w:jc w:val="center"/>
      <w:widowControl/>
    </w:pPr>
    <w:rPr>
      <w:rFonts w:ascii="Arial" w:hAnsi="Arial" w:cs="Arial"/>
      <w:b/>
      <w:bCs/>
      <w:sz w:val="24"/>
      <w:szCs w:val="24"/>
    </w:rPr>
  </w:style>
  <w:style w:type="paragraph" w:styleId="para65" w:customStyle="1">
    <w:name w:val="xl55"/>
    <w:qFormat/>
    <w:basedOn w:val="para0"/>
    <w:pPr>
      <w:spacing w:before="100" w:after="100"/>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i/>
      <w:iCs/>
      <w:sz w:val="24"/>
      <w:szCs w:val="24"/>
    </w:rPr>
  </w:style>
  <w:style w:type="paragraph" w:styleId="para66" w:customStyle="1">
    <w:name w:val="xl56"/>
    <w:qFormat/>
    <w:basedOn w:val="para0"/>
    <w:pPr>
      <w:spacing w:before="100" w:after="100"/>
      <w:jc w:val="center"/>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sz w:val="24"/>
      <w:szCs w:val="24"/>
    </w:rPr>
  </w:style>
  <w:style w:type="paragraph" w:styleId="para67" w:customStyle="1">
    <w:name w:val="xl57"/>
    <w:qFormat/>
    <w:basedOn w:val="para0"/>
    <w:pPr>
      <w:spacing w:before="100" w:after="100"/>
      <w:jc w:val="center"/>
      <w:widowControl/>
      <w:pBdr>
        <w:top w:val="single" w:sz="4" w:space="0" w:color="000000" tmln="10, 20, 20, 0, 0"/>
        <w:left w:val="single" w:sz="4" w:space="0" w:color="000000" tmln="10, 20, 20, 0, 0"/>
        <w:bottom w:val="nil" w:sz="0" w:space="3" w:color="000000" tmln="20, 20, 20, 0, 60"/>
        <w:right w:val="single" w:sz="4" w:space="0" w:color="000000" tmln="10, 20, 20, 0, 0"/>
        <w:between w:val="nil" w:sz="0" w:space="0" w:color="000000" tmln="20, 20, 20, 0, 0"/>
      </w:pBdr>
      <w:shd w:val="none"/>
    </w:pPr>
    <w:rPr>
      <w:sz w:val="24"/>
      <w:szCs w:val="24"/>
    </w:rPr>
  </w:style>
  <w:style w:type="paragraph" w:styleId="para68" w:customStyle="1">
    <w:name w:val="xl58"/>
    <w:qFormat/>
    <w:basedOn w:val="para0"/>
    <w:pPr>
      <w:spacing w:before="100" w:after="100"/>
      <w:jc w:val="center"/>
      <w:widowControl/>
      <w:pBdr>
        <w:top w:val="nil" w:sz="0" w:space="3" w:color="000000" tmln="20, 20, 20, 0, 60"/>
        <w:left w:val="single" w:sz="4" w:space="0" w:color="000000" tmln="10, 20, 20, 0, 0"/>
        <w:bottom w:val="nil" w:sz="0" w:space="3" w:color="000000" tmln="20, 20, 20, 0, 60"/>
        <w:right w:val="single" w:sz="4" w:space="0" w:color="000000" tmln="10, 20, 20, 0, 0"/>
        <w:between w:val="nil" w:sz="0" w:space="0" w:color="000000" tmln="20, 20, 20, 0, 0"/>
      </w:pBdr>
      <w:shd w:val="none"/>
    </w:pPr>
    <w:rPr>
      <w:sz w:val="24"/>
      <w:szCs w:val="24"/>
    </w:rPr>
  </w:style>
  <w:style w:type="paragraph" w:styleId="para69" w:customStyle="1">
    <w:name w:val="xl59"/>
    <w:qFormat/>
    <w:basedOn w:val="para0"/>
    <w:pPr>
      <w:spacing w:before="100" w:after="100"/>
      <w:jc w:val="center"/>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sz w:val="24"/>
      <w:szCs w:val="24"/>
    </w:rPr>
  </w:style>
  <w:style w:type="paragraph" w:styleId="para70" w:customStyle="1">
    <w:name w:val="xl60"/>
    <w:qFormat/>
    <w:basedOn w:val="para0"/>
    <w:pPr>
      <w:spacing w:before="100" w:after="100"/>
      <w:jc w:val="center"/>
      <w:widowControl/>
      <w:pBdr>
        <w:top w:val="single" w:sz="4" w:space="0" w:color="000000" tmln="10, 20, 20, 0, 0"/>
        <w:left w:val="single" w:sz="4" w:space="0" w:color="000000" tmln="10, 20, 20, 0, 0"/>
        <w:bottom w:val="nil" w:sz="0" w:space="3" w:color="000000" tmln="20, 20, 20, 0, 60"/>
        <w:right w:val="single" w:sz="4" w:space="0" w:color="000000" tmln="10, 20, 20, 0, 0"/>
        <w:between w:val="nil" w:sz="0" w:space="0" w:color="000000" tmln="20, 20, 20, 0, 0"/>
      </w:pBdr>
      <w:shd w:val="none"/>
    </w:pPr>
    <w:rPr>
      <w:rFonts w:ascii="Arial" w:hAnsi="Arial" w:cs="Arial"/>
      <w:sz w:val="24"/>
      <w:szCs w:val="24"/>
    </w:rPr>
  </w:style>
  <w:style w:type="paragraph" w:styleId="para71" w:customStyle="1">
    <w:name w:val="xl61"/>
    <w:qFormat/>
    <w:basedOn w:val="para0"/>
    <w:pPr>
      <w:spacing w:before="100" w:after="100"/>
      <w:jc w:val="center"/>
      <w:widowControl/>
      <w:pBdr>
        <w:top w:val="nil" w:sz="0" w:space="3" w:color="000000" tmln="20, 20, 20, 0, 60"/>
        <w:left w:val="single" w:sz="4" w:space="0" w:color="000000" tmln="10, 20, 20, 0, 0"/>
        <w:bottom w:val="nil" w:sz="0" w:space="3" w:color="000000" tmln="20, 20, 20, 0, 60"/>
        <w:right w:val="single" w:sz="4" w:space="0" w:color="000000" tmln="10, 20, 20, 0, 0"/>
        <w:between w:val="nil" w:sz="0" w:space="0" w:color="000000" tmln="20, 20, 20, 0, 0"/>
      </w:pBdr>
      <w:shd w:val="none"/>
    </w:pPr>
    <w:rPr>
      <w:rFonts w:ascii="Arial" w:hAnsi="Arial" w:cs="Arial"/>
      <w:sz w:val="24"/>
      <w:szCs w:val="24"/>
    </w:rPr>
  </w:style>
  <w:style w:type="paragraph" w:styleId="para72" w:customStyle="1">
    <w:name w:val="xl62"/>
    <w:qFormat/>
    <w:basedOn w:val="para0"/>
    <w:pPr>
      <w:spacing w:before="100" w:after="100"/>
      <w:jc w:val="center"/>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sz w:val="24"/>
      <w:szCs w:val="24"/>
    </w:rPr>
  </w:style>
  <w:style w:type="paragraph" w:styleId="para73" w:customStyle="1">
    <w:name w:val="xl63"/>
    <w:qFormat/>
    <w:basedOn w:val="para0"/>
    <w:pPr>
      <w:spacing w:before="100" w:after="100"/>
      <w:jc w:val="center"/>
      <w:widowControl/>
      <w:pBdr>
        <w:top w:val="single" w:sz="4" w:space="0" w:color="000000" tmln="10, 20, 20, 0, 0"/>
        <w:left w:val="single" w:sz="4" w:space="0" w:color="000000" tmln="10, 20, 20, 0, 0"/>
        <w:bottom w:val="nil" w:sz="0" w:space="3" w:color="000000" tmln="20, 20, 20, 0, 60"/>
        <w:right w:val="nil" w:sz="0" w:space="3" w:color="000000" tmln="20, 20, 20, 0, 60"/>
        <w:between w:val="nil" w:sz="0" w:space="0" w:color="000000" tmln="20, 20, 20, 0, 0"/>
      </w:pBdr>
      <w:shd w:val="none"/>
    </w:pPr>
    <w:rPr>
      <w:rFonts w:ascii="Arial" w:hAnsi="Arial" w:cs="Arial"/>
      <w:sz w:val="24"/>
      <w:szCs w:val="24"/>
    </w:rPr>
  </w:style>
  <w:style w:type="paragraph" w:styleId="para74" w:customStyle="1">
    <w:name w:val="xl64"/>
    <w:qFormat/>
    <w:basedOn w:val="para0"/>
    <w:pPr>
      <w:spacing w:before="100" w:after="100"/>
      <w:jc w:val="center"/>
      <w:widowControl/>
      <w:pBdr>
        <w:top w:val="nil" w:sz="0" w:space="3" w:color="000000" tmln="20, 20, 20, 0, 60"/>
        <w:left w:val="single" w:sz="4" w:space="0" w:color="000000" tmln="10, 20, 20, 0, 0"/>
        <w:bottom w:val="nil" w:sz="0" w:space="3" w:color="000000" tmln="20, 20, 20, 0, 60"/>
        <w:right w:val="nil" w:sz="0" w:space="3" w:color="000000" tmln="20, 20, 20, 0, 60"/>
        <w:between w:val="nil" w:sz="0" w:space="0" w:color="000000" tmln="20, 20, 20, 0, 0"/>
      </w:pBdr>
      <w:shd w:val="none"/>
    </w:pPr>
    <w:rPr>
      <w:rFonts w:ascii="Arial" w:hAnsi="Arial" w:cs="Arial"/>
      <w:sz w:val="24"/>
      <w:szCs w:val="24"/>
    </w:rPr>
  </w:style>
  <w:style w:type="paragraph" w:styleId="para75" w:customStyle="1">
    <w:name w:val="xl65"/>
    <w:qFormat/>
    <w:basedOn w:val="para0"/>
    <w:pPr>
      <w:spacing w:before="100" w:after="100"/>
      <w:jc w:val="center"/>
      <w:widowControl/>
      <w:pBdr>
        <w:top w:val="nil" w:sz="0" w:space="3" w:color="000000" tmln="20, 20, 20, 0, 60"/>
        <w:left w:val="single" w:sz="4" w:space="0" w:color="000000" tmln="10, 20, 20, 0, 0"/>
        <w:bottom w:val="single" w:sz="4" w:space="0" w:color="000000" tmln="10, 20, 20, 0, 0"/>
        <w:right w:val="nil" w:sz="0" w:space="3" w:color="000000" tmln="20, 20, 20, 0, 60"/>
        <w:between w:val="nil" w:sz="0" w:space="0" w:color="000000" tmln="20, 20, 20, 0, 0"/>
      </w:pBdr>
      <w:shd w:val="none"/>
    </w:pPr>
    <w:rPr>
      <w:rFonts w:ascii="Arial" w:hAnsi="Arial" w:cs="Arial"/>
      <w:sz w:val="24"/>
      <w:szCs w:val="24"/>
    </w:rPr>
  </w:style>
  <w:style w:type="paragraph" w:styleId="para76" w:customStyle="1">
    <w:name w:val="xl66"/>
    <w:qFormat/>
    <w:basedOn w:val="para0"/>
    <w:pPr>
      <w:spacing w:before="100" w:after="100"/>
      <w:jc w:val="center"/>
      <w:widowControl/>
      <w:pBdr>
        <w:top w:val="single" w:sz="4" w:space="0" w:color="000000" tmln="10, 20, 20, 0, 0"/>
        <w:left w:val="single" w:sz="4" w:space="0" w:color="000000" tmln="10, 20, 20, 0, 0"/>
        <w:bottom w:val="nil" w:sz="0" w:space="3" w:color="000000" tmln="20, 20, 20, 0, 60"/>
        <w:right w:val="single" w:sz="4" w:space="0" w:color="000000" tmln="10, 20, 20, 0, 0"/>
        <w:between w:val="nil" w:sz="0" w:space="0" w:color="000000" tmln="20, 20, 20, 0, 0"/>
      </w:pBdr>
      <w:shd w:val="none"/>
    </w:pPr>
    <w:rPr>
      <w:rFonts w:ascii="Arial" w:hAnsi="Arial" w:cs="Arial"/>
      <w:sz w:val="22"/>
      <w:szCs w:val="22"/>
    </w:rPr>
  </w:style>
  <w:style w:type="paragraph" w:styleId="para77" w:customStyle="1">
    <w:name w:val="xl67"/>
    <w:qFormat/>
    <w:basedOn w:val="para0"/>
    <w:pPr>
      <w:spacing w:before="100" w:after="100"/>
      <w:jc w:val="center"/>
      <w:widowControl/>
      <w:pBdr>
        <w:top w:val="nil" w:sz="0" w:space="3" w:color="000000" tmln="20, 20, 20, 0, 60"/>
        <w:left w:val="single" w:sz="4" w:space="0" w:color="000000" tmln="10, 20, 20, 0, 0"/>
        <w:bottom w:val="nil" w:sz="0" w:space="3" w:color="000000" tmln="20, 20, 20, 0, 60"/>
        <w:right w:val="single" w:sz="4" w:space="0" w:color="000000" tmln="10, 20, 20, 0, 0"/>
        <w:between w:val="nil" w:sz="0" w:space="0" w:color="000000" tmln="20, 20, 20, 0, 0"/>
      </w:pBdr>
      <w:shd w:val="none"/>
    </w:pPr>
    <w:rPr>
      <w:rFonts w:ascii="Arial" w:hAnsi="Arial" w:cs="Arial"/>
      <w:sz w:val="22"/>
      <w:szCs w:val="22"/>
    </w:rPr>
  </w:style>
  <w:style w:type="paragraph" w:styleId="para78" w:customStyle="1">
    <w:name w:val="Основной текст с отступом 31"/>
    <w:qFormat/>
    <w:basedOn w:val="para0"/>
    <w:pPr>
      <w:ind w:firstLine="60"/>
      <w:widowControl/>
    </w:pPr>
    <w:rPr>
      <w:bCs/>
      <w:sz w:val="28"/>
    </w:rPr>
  </w:style>
  <w:style w:type="paragraph" w:styleId="para79" w:customStyle="1">
    <w:name w:val="LO-Normal"/>
    <w:qFormat/>
    <w:pPr>
      <w:widowControl/>
    </w:pPr>
    <w:rPr>
      <w:rFonts w:ascii="Times New Roman" w:hAnsi="Times New Roman" w:eastAsia="Times New Roman" w:cs="Times New Roman"/>
      <w:lang w:val="ru-ru" w:eastAsia="zh-cn" w:bidi="ar-sa"/>
    </w:rPr>
  </w:style>
  <w:style w:type="paragraph" w:styleId="para80">
    <w:name w:val="Subtitle"/>
    <w:qFormat/>
    <w:basedOn w:val="para0"/>
    <w:next w:val="para11"/>
    <w:pPr>
      <w:spacing/>
      <w:jc w:val="center"/>
      <w:widowControl/>
    </w:pPr>
    <w:rPr>
      <w:b/>
      <w:bCs/>
      <w:i/>
      <w:iCs/>
      <w:sz w:val="32"/>
      <w:szCs w:val="24"/>
    </w:rPr>
  </w:style>
  <w:style w:type="paragraph" w:styleId="para81" w:customStyle="1">
    <w:name w:val="Body Single"/>
    <w:qFormat/>
    <w:rPr>
      <w:rFonts w:ascii="Times New Roman" w:hAnsi="Times New Roman" w:eastAsia="Times New Roman" w:cs="Times New Roman"/>
      <w:color w:val="000000"/>
      <w:sz w:val="28"/>
      <w:lang w:val="ru-ru" w:eastAsia="zh-cn" w:bidi="ar-sa"/>
    </w:rPr>
  </w:style>
  <w:style w:type="paragraph" w:styleId="para82" w:customStyle="1">
    <w:name w:val="Обычный (Интернет)1"/>
    <w:qFormat/>
    <w:basedOn w:val="para0"/>
    <w:pPr>
      <w:spacing w:before="100" w:after="100"/>
      <w:widowControl/>
    </w:pPr>
    <w:rPr>
      <w:sz w:val="24"/>
      <w:szCs w:val="24"/>
    </w:rPr>
  </w:style>
  <w:style w:type="paragraph" w:styleId="para83" w:customStyle="1">
    <w:name w:val="Iau?iue"/>
    <w:qFormat/>
    <w:pPr>
      <w:widowControl/>
    </w:pPr>
    <w:rPr>
      <w:rFonts w:ascii="a_CityNovaLt" w:hAnsi="a_CityNovaLt" w:eastAsia="Times New Roman" w:cs="a_CityNovaLt"/>
      <w:sz w:val="28"/>
      <w:lang w:val="ru-ru" w:eastAsia="zh-cn" w:bidi="ar-sa"/>
    </w:rPr>
  </w:style>
  <w:style w:type="paragraph" w:styleId="para84" w:customStyle="1">
    <w:name w:val="çàãîëîâîê 1"/>
    <w:qFormat/>
    <w:basedOn w:val="para0"/>
    <w:next w:val="para0"/>
    <w:pPr>
      <w:spacing/>
      <w:jc w:val="center"/>
      <w:keepNext/>
      <w:widowControl/>
    </w:pPr>
    <w:rPr>
      <w:b/>
      <w:bCs/>
      <w:sz w:val="36"/>
      <w:szCs w:val="36"/>
    </w:rPr>
  </w:style>
  <w:style w:type="paragraph" w:styleId="para85">
    <w:name w:val="No Spacing"/>
    <w:qFormat/>
    <w:pPr>
      <w:widowControl/>
    </w:pPr>
    <w:rPr>
      <w:rFonts w:ascii="Times New Roman" w:hAnsi="Times New Roman" w:eastAsia="Calibri" w:cs="Times New Roman"/>
      <w:sz w:val="28"/>
      <w:szCs w:val="24"/>
      <w:lang w:val="ru-ru" w:eastAsia="zh-cn" w:bidi="ar-sa"/>
    </w:rPr>
  </w:style>
  <w:style w:type="paragraph" w:styleId="para86" w:customStyle="1">
    <w:name w:val="List Paragraph*"/>
    <w:qFormat/>
    <w:basedOn w:val="para0"/>
    <w:pPr>
      <w:ind w:left="720"/>
      <w:spacing w:after="200" w:line="276" w:lineRule="auto"/>
      <w:contextualSpacing/>
      <w:widowControl/>
    </w:pPr>
    <w:rPr>
      <w:rFonts w:ascii="Calibri" w:hAnsi="Calibri" w:eastAsia="Calibri" w:cs="Calibri"/>
      <w:sz w:val="22"/>
      <w:szCs w:val="22"/>
    </w:rPr>
  </w:style>
  <w:style w:type="paragraph" w:styleId="para87" w:customStyle="1">
    <w:name w:val="Normal1"/>
    <w:qFormat/>
    <w:pPr>
      <w:widowControl/>
    </w:pPr>
    <w:rPr>
      <w:rFonts w:ascii="Times New Roman" w:hAnsi="Times New Roman" w:eastAsia="Times New Roman" w:cs="Times New Roman"/>
      <w:lang w:val="ru-ru" w:eastAsia="zh-cn" w:bidi="ar-sa"/>
    </w:rPr>
  </w:style>
  <w:style w:type="paragraph" w:styleId="para88" w:customStyle="1">
    <w:name w:val="Style7"/>
    <w:qFormat/>
    <w:basedOn w:val="para0"/>
    <w:pPr>
      <w:ind w:firstLine="703"/>
      <w:spacing w:line="371" w:lineRule="exact"/>
      <w:jc w:val="both"/>
    </w:pPr>
    <w:rPr>
      <w:rFonts w:ascii="Calibri" w:hAnsi="Calibri" w:cs="Calibri"/>
      <w:sz w:val="24"/>
      <w:szCs w:val="24"/>
    </w:rPr>
  </w:style>
  <w:style w:type="paragraph" w:styleId="para89" w:customStyle="1">
    <w:name w:val="No Spacing*"/>
    <w:qFormat/>
    <w:pPr>
      <w:widowControl/>
    </w:pPr>
    <w:rPr>
      <w:rFonts w:ascii="Calibri" w:hAnsi="Calibri" w:eastAsia="Times New Roman" w:cs="Calibri"/>
      <w:sz w:val="22"/>
      <w:szCs w:val="22"/>
      <w:lang w:val="ru-ru" w:eastAsia="zh-cn" w:bidi="ar-sa"/>
    </w:rPr>
  </w:style>
  <w:style w:type="paragraph" w:styleId="para90" w:customStyle="1">
    <w:name w:val="Текст1"/>
    <w:qFormat/>
    <w:basedOn w:val="para0"/>
    <w:pPr>
      <w:widowControl/>
    </w:pPr>
    <w:rPr>
      <w:rFonts w:ascii="Courier New" w:hAnsi="Courier New" w:cs="Courier New"/>
    </w:rPr>
  </w:style>
  <w:style w:type="paragraph" w:styleId="para91">
    <w:name w:val="List Paragraph"/>
    <w:qFormat/>
    <w:basedOn w:val="para0"/>
    <w:pPr>
      <w:ind w:left="720"/>
      <w:spacing w:after="200" w:line="276" w:lineRule="auto"/>
      <w:contextualSpacing/>
      <w:widowControl/>
    </w:pPr>
    <w:rPr>
      <w:rFonts w:ascii="Calibri" w:hAnsi="Calibri" w:cs="Calibri"/>
      <w:sz w:val="22"/>
      <w:szCs w:val="22"/>
    </w:rPr>
  </w:style>
  <w:style w:type="paragraph" w:styleId="para92" w:customStyle="1">
    <w:name w:val="ConsPlusNormal"/>
    <w:qFormat/>
    <w:pPr>
      <w:ind w:firstLine="720"/>
    </w:pPr>
    <w:rPr>
      <w:rFonts w:ascii="Arial" w:hAnsi="Arial" w:eastAsia="Times New Roman" w:cs="Arial"/>
      <w:lang w:val="ru-ru" w:eastAsia="zh-cn" w:bidi="ar-sa"/>
    </w:rPr>
  </w:style>
  <w:style w:type="paragraph" w:styleId="para93" w:customStyle="1">
    <w:name w:val="ConsPlusNonformat"/>
    <w:qFormat/>
    <w:rPr>
      <w:rFonts w:ascii="Courier New" w:hAnsi="Courier New" w:eastAsia="Times New Roman" w:cs="Courier New"/>
      <w:lang w:val="ru-ru" w:eastAsia="zh-cn" w:bidi="ar-sa"/>
    </w:rPr>
  </w:style>
  <w:style w:type="paragraph" w:styleId="para94" w:customStyle="1">
    <w:name w:val="ConsPlusCell"/>
    <w:qFormat/>
    <w:rPr>
      <w:rFonts w:ascii="Arial" w:hAnsi="Arial" w:eastAsia="Times New Roman" w:cs="Arial"/>
      <w:lang w:val="ru-ru" w:eastAsia="zh-cn" w:bidi="ar-sa"/>
    </w:rPr>
  </w:style>
  <w:style w:type="paragraph" w:styleId="para95" w:customStyle="1">
    <w:name w:val="Обычный1"/>
    <w:qFormat/>
    <w:pPr>
      <w:widowControl/>
    </w:pPr>
    <w:rPr>
      <w:rFonts w:ascii="Times New Roman" w:hAnsi="Times New Roman" w:eastAsia="Times New Roman" w:cs="Times New Roman"/>
      <w:sz w:val="24"/>
      <w:lang w:val="ru-ru" w:eastAsia="zh-cn" w:bidi="ar-sa"/>
    </w:rPr>
  </w:style>
  <w:style w:type="paragraph" w:styleId="para96" w:customStyle="1">
    <w:name w:val="Наборный МФЦ"/>
    <w:qFormat/>
    <w:basedOn w:val="para0"/>
    <w:pPr>
      <w:widowControl/>
    </w:pPr>
    <w:rPr>
      <w:rFonts w:ascii="Arial" w:hAnsi="Arial"/>
      <w:color w:val="000000"/>
      <w:sz w:val="18"/>
      <w:szCs w:val="24"/>
    </w:rPr>
  </w:style>
  <w:style w:type="paragraph" w:styleId="para97" w:customStyle="1">
    <w:name w:val="consplustitle"/>
    <w:qFormat/>
    <w:basedOn w:val="para0"/>
    <w:pPr>
      <w:spacing w:before="100" w:after="100"/>
      <w:widowControl/>
    </w:pPr>
    <w:rPr>
      <w:rFonts w:eastAsia="Calibri"/>
      <w:sz w:val="24"/>
      <w:szCs w:val="24"/>
    </w:rPr>
  </w:style>
  <w:style w:type="paragraph" w:styleId="para98" w:customStyle="1">
    <w:name w:val="Основной текст (3)"/>
    <w:qFormat/>
    <w:basedOn w:val="para0"/>
    <w:pPr>
      <w:spacing w:line="322" w:lineRule="exact"/>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pPr>
    <w:rPr>
      <w:b/>
      <w:bCs/>
      <w:sz w:val="28"/>
      <w:szCs w:val="28"/>
    </w:rPr>
  </w:style>
  <w:style w:type="paragraph" w:styleId="para99" w:customStyle="1">
    <w:name w:val="ConsPlusTitle"/>
    <w:qFormat/>
    <w:rPr>
      <w:rFonts w:ascii="Calibri" w:hAnsi="Calibri" w:eastAsia="Times New Roman" w:cs="Calibri"/>
      <w:b/>
      <w:sz w:val="22"/>
      <w:lang w:val="ru-ru" w:eastAsia="zh-cn" w:bidi="ar-sa"/>
    </w:rPr>
  </w:style>
  <w:style w:type="paragraph" w:styleId="para100" w:customStyle="1">
    <w:name w:val="Без интервала1"/>
    <w:qFormat/>
    <w:pPr>
      <w:widowControl/>
    </w:pPr>
    <w:rPr>
      <w:rFonts w:ascii="Calibri" w:hAnsi="Calibri" w:eastAsia="Times New Roman" w:cs="Calibri"/>
      <w:sz w:val="22"/>
      <w:szCs w:val="22"/>
      <w:lang w:val="ru-ru" w:eastAsia="zh-cn" w:bidi="ar-sa"/>
    </w:rPr>
  </w:style>
  <w:style w:type="paragraph" w:styleId="para101">
    <w:name w:val="Balloon Text"/>
    <w:qFormat/>
    <w:basedOn w:val="para0"/>
    <w:rPr>
      <w:rFonts w:ascii="Tahoma" w:hAnsi="Tahoma" w:cs="Tahoma"/>
      <w:sz w:val="16"/>
      <w:szCs w:val="16"/>
    </w:rPr>
  </w:style>
  <w:style w:type="paragraph" w:styleId="para102">
    <w:name w:val="toc 2"/>
    <w:qFormat/>
    <w:basedOn w:val="para0"/>
    <w:next w:val="para0"/>
    <w:pPr>
      <w:ind w:left="200"/>
    </w:pPr>
  </w:style>
  <w:style w:type="paragraph" w:styleId="para103">
    <w:name w:val="toc 1"/>
    <w:qFormat/>
    <w:basedOn w:val="para0"/>
    <w:next w:val="para0"/>
    <w:pPr>
      <w:tabs defTabSz="720">
        <w:tab w:val="left" w:pos="400" w:leader="none"/>
        <w:tab w:val="right" w:pos="10055" w:leader="dot"/>
      </w:tabs>
    </w:pPr>
    <w:rPr>
      <w:b/>
    </w:rPr>
  </w:style>
  <w:style w:type="paragraph" w:styleId="para104">
    <w:name w:val="HTML Preformatted"/>
    <w:qFormat/>
    <w:basedOn w:val="para0"/>
    <w:pPr>
      <w:spacing w:line="216" w:lineRule="atLeast"/>
      <w:widowControl/>
      <w:tabs defTabSz="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lang w:val="en-us"/>
    </w:rPr>
  </w:style>
  <w:style w:type="paragraph" w:styleId="para105" w:customStyle="1">
    <w:name w:val="Заголовок №41"/>
    <w:qFormat/>
    <w:basedOn w:val="para0"/>
    <w:pPr>
      <w:spacing w:before="120" w:after="600" w:line="240" w:lineRule="atLeast"/>
      <w:jc w:val="both"/>
      <w:outlineLvl w:val="3"/>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pPr>
    <w:rPr>
      <w:rFonts w:ascii="Calibri" w:hAnsi="Calibri" w:cs="Calibri"/>
      <w:spacing w:val="3" w:percent="103"/>
      <w:sz w:val="19"/>
      <w:szCs w:val="19"/>
    </w:rPr>
  </w:style>
  <w:style w:type="paragraph" w:styleId="para106" w:customStyle="1">
    <w:name w:val="Текст примечания1"/>
    <w:qFormat/>
    <w:basedOn w:val="para0"/>
  </w:style>
  <w:style w:type="paragraph" w:styleId="para107" w:customStyle="1">
    <w:name w:val="Comment Subject"/>
    <w:qFormat/>
    <w:basedOn w:val="para106"/>
    <w:next w:val="para106"/>
    <w:rPr>
      <w:b/>
      <w:bCs/>
    </w:rPr>
  </w:style>
  <w:style w:type="paragraph" w:styleId="para108" w:customStyle="1">
    <w:name w:val="Абзац"/>
    <w:qFormat/>
    <w:basedOn w:val="para82"/>
    <w:pPr>
      <w:ind w:firstLine="879"/>
      <w:spacing w:before="0" w:after="0"/>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pPr>
    <w:rPr>
      <w:rFonts w:ascii="Arial" w:hAnsi="Arial" w:cs="Arial"/>
      <w:color w:val="000000"/>
      <w:sz w:val="32"/>
      <w:szCs w:val="32"/>
    </w:rPr>
  </w:style>
  <w:style w:type="paragraph" w:styleId="para109" w:customStyle="1">
    <w:name w:val="Default"/>
    <w:qFormat/>
    <w:pPr>
      <w:widowControl/>
    </w:pPr>
    <w:rPr>
      <w:rFonts w:ascii="Times New Roman" w:hAnsi="Times New Roman" w:eastAsia="Calibri" w:cs="Times New Roman"/>
      <w:color w:val="000000"/>
      <w:sz w:val="24"/>
      <w:szCs w:val="24"/>
      <w:lang w:val="ru-ru" w:eastAsia="zh-cn" w:bidi="ar-sa"/>
    </w:rPr>
  </w:style>
  <w:style w:type="paragraph" w:styleId="para110" w:customStyle="1">
    <w:name w:val="Содержимое таблицы"/>
    <w:qFormat/>
    <w:basedOn w:val="para0"/>
    <w:pPr>
      <w:suppressLineNumbers/>
    </w:pPr>
  </w:style>
  <w:style w:type="paragraph" w:styleId="para111" w:customStyle="1">
    <w:name w:val="Заголовок таблицы"/>
    <w:qFormat/>
    <w:basedOn w:val="para110"/>
    <w:pPr>
      <w:spacing/>
      <w:jc w:val="center"/>
    </w:pPr>
    <w:rPr>
      <w:b/>
      <w:bCs/>
    </w:rPr>
  </w:style>
  <w:style w:type="paragraph" w:styleId="para112" w:customStyle="1">
    <w:name w:val="Содержимое врезки"/>
    <w:qFormat/>
    <w:basedOn w:val="para0"/>
  </w:style>
  <w:style w:type="paragraph" w:styleId="para113" w:customStyle="1">
    <w:name w:val="Normal (Web)*"/>
    <w:qFormat/>
    <w:basedOn w:val="para0"/>
    <w:pPr>
      <w:spacing w:before="280" w:after="280"/>
    </w:pPr>
    <w:rPr>
      <w:sz w:val="24"/>
      <w:szCs w:val="24"/>
    </w:rPr>
  </w:style>
  <w:style w:type="paragraph" w:styleId="para114" w:customStyle="1">
    <w:name w:val="Обычный2"/>
    <w:qFormat/>
    <w:pPr>
      <w:widowControl/>
    </w:pPr>
    <w:rPr>
      <w:rFonts w:ascii="Times New Roman" w:hAnsi="Times New Roman" w:eastAsia="Times New Roman" w:cs="Times New Roman"/>
      <w:sz w:val="24"/>
      <w:lang w:val="ru-ru" w:eastAsia="ru-ru" w:bidi="ar-sa"/>
    </w:rPr>
  </w:style>
  <w:style w:type="paragraph" w:styleId="para115">
    <w:name w:val="Normal (Web)"/>
    <w:qFormat/>
    <w:basedOn w:val="para0"/>
  </w:style>
  <w:style w:type="paragraph" w:styleId="para116">
    <w:name w:val="Body Text 2"/>
    <w:qFormat/>
    <w:basedOn w:val="para0"/>
    <w:pPr>
      <w:spacing w:after="120" w:line="480" w:lineRule="auto"/>
    </w:pPr>
  </w:style>
  <w:style w:type="paragraph" w:styleId="para117">
    <w:name w:val="Body Text Indent 2"/>
    <w:qFormat/>
    <w:basedOn w:val="para116"/>
    <w:pPr>
      <w:ind w:left="283"/>
    </w:pPr>
  </w:style>
  <w:style w:type="paragraph" w:styleId="para118" w:customStyle="1">
    <w:name w:val="Îáû÷íûé"/>
    <w:qFormat/>
    <w:pPr>
      <w:hyphenationLines w:val="1"/>
      <w:widowControl/>
      <w:tabs defTabSz="708"/>
    </w:pPr>
    <w:rPr>
      <w:rFonts w:ascii="Times New Roman" w:hAnsi="Times New Roman" w:eastAsia="Times New Roman" w:cs="Times New Roman"/>
      <w:color w:val="000000"/>
      <w:lang w:val="ru-ru" w:eastAsia="zh-cn" w:bidi="ar-sa"/>
    </w:rPr>
  </w:style>
  <w:style w:type="paragraph" w:styleId="para119" w:customStyle="1">
    <w:name w:val="_04xlpa"/>
    <w:qFormat/>
    <w:basedOn w:val="para0"/>
    <w:pPr>
      <w:spacing w:before="100" w:after="100" w:beforeAutospacing="1" w:afterAutospacing="1"/>
      <w:hyphenationLines w:val="1"/>
      <w:widowControl/>
      <w:tabs defTabSz="708"/>
    </w:pPr>
    <w:rPr>
      <w:sz w:val="24"/>
      <w:szCs w:val="24"/>
      <w:lang w:eastAsia="ru-ru"/>
    </w:rPr>
  </w:style>
  <w:style w:type="paragraph" w:styleId="para120" w:customStyle="1">
    <w:name w:val=""/>
    <w:qFormat/>
    <w:basedOn w:val="para0"/>
    <w:next w:val="para115"/>
    <w:pPr>
      <w:spacing w:before="100" w:after="100" w:beforeAutospacing="1" w:afterAutospacing="1"/>
      <w:hyphenationLines w:val="1"/>
      <w:widowControl/>
      <w:tabs defTabSz="708"/>
    </w:pPr>
    <w:rPr>
      <w:sz w:val="24"/>
      <w:szCs w:val="24"/>
      <w:lang w:eastAsia="ru-ru"/>
    </w:rPr>
  </w:style>
  <w:style w:type="paragraph" w:styleId="para121" w:customStyle="1">
    <w:name w:val="Standard"/>
    <w:qFormat/>
    <w:basedOn w:val="para0"/>
    <w:pPr>
      <w:spacing/>
      <w:jc w:val="center"/>
      <w:tabs defTabSz="709"/>
    </w:pPr>
    <w:rPr>
      <w:rFonts w:ascii="PT Astra Serif" w:hAnsi="PT Astra Serif" w:eastAsia="Source Han Sans CN Regular" w:cs="Lohit Devanagari"/>
      <w:kern w:val="1"/>
      <w:sz w:val="28"/>
      <w:szCs w:val="24"/>
      <w:lang w:eastAsia="ru-ru"/>
    </w:rPr>
  </w:style>
  <w:style w:type="paragraph" w:styleId="para122" w:customStyle="1">
    <w:name w:val="First line indent"/>
    <w:qFormat/>
    <w:basedOn w:val="para121"/>
    <w:pPr>
      <w:ind w:firstLine="709"/>
      <w:spacing/>
      <w:jc w:val="both"/>
    </w:pPr>
  </w:style>
  <w:style w:type="paragraph" w:styleId="para123" w:customStyle="1">
    <w:name w:val="Без интервала*"/>
    <w:qFormat/>
    <w:pPr>
      <w:spacing w:after="200" w:line="276" w:lineRule="auto"/>
      <w:widowControl/>
      <w:tabs defTabSz="708"/>
    </w:pPr>
    <w:rPr>
      <w:rFonts w:ascii="Calibri" w:hAnsi="Calibri" w:eastAsia="Calibri" w:cs="Times New Roman"/>
      <w:kern w:val="1"/>
      <w:sz w:val="22"/>
      <w:szCs w:val="22"/>
      <w:lang w:val="ru-ru" w:eastAsia="zh-cn" w:bidi="ar-sa"/>
    </w:rPr>
  </w:style>
  <w:style w:type="paragraph" w:styleId="para124">
    <w:name w:val="Plain Text"/>
    <w:qFormat/>
    <w:basedOn w:val="para0"/>
    <w:rPr>
      <w:rFonts w:ascii="Courier-PS" w:hAnsi="Courier-PS" w:eastAsia="Courier-PS" w:cs="Courier-PS"/>
    </w:rPr>
  </w:style>
  <w:style w:type="paragraph" w:styleId="para125" w:customStyle="1">
    <w:name w:val="Normal"/>
    <w:qFormat/>
    <w:pPr>
      <w:hyphenationLines w:val="1"/>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Pr>
      <w:rFonts w:ascii="Times New Roman" w:hAnsi="Times New Roman" w:eastAsia="Times New Roman" w:cs="Times New Roman"/>
      <w:sz w:val="24"/>
      <w:lang w:val="ru-ru" w:eastAsia="ru-ru" w:bidi="ar-sa"/>
    </w:rPr>
  </w:style>
  <w:style w:type="paragraph" w:styleId="para126">
    <w:name w:val="Block Text"/>
    <w:qFormat/>
    <w:basedOn w:val="para0"/>
    <w:pPr>
      <w:ind w:left="1440" w:right="1440"/>
      <w:spacing w:before="240" w:after="60"/>
    </w:pPr>
  </w:style>
  <w:style w:type="paragraph" w:styleId="para127" w:customStyle="1">
    <w:name w:val="Text body indent"/>
    <w:qFormat/>
    <w:basedOn w:val="para121"/>
    <w:pPr>
      <w:widowControl/>
      <w:tabs defTabSz="708"/>
    </w:pPr>
    <w:rPr>
      <w:rFonts w:ascii="Times New Roman" w:hAnsi="Times New Roman" w:eastAsia="Times New Roman" w:cs="Times New Roman"/>
      <w:b/>
      <w:bCs/>
      <w:sz w:val="38"/>
      <w:szCs w:val="38"/>
      <w:lang w:eastAsia="zh-cn"/>
    </w:rPr>
  </w:style>
  <w:style w:type="paragraph" w:styleId="para128" w:customStyle="1">
    <w:name w:val="docdata"/>
    <w:qFormat/>
    <w:basedOn w:val="para0"/>
    <w:pPr>
      <w:spacing w:before="100" w:after="100" w:beforeAutospacing="1" w:afterAutospacing="1"/>
      <w:hyphenationLines w:val="1"/>
      <w:widowControl/>
      <w:tabs defTabSz="708"/>
    </w:pPr>
    <w:rPr>
      <w:sz w:val="24"/>
      <w:szCs w:val="24"/>
      <w:lang w:eastAsia="ru-ru"/>
    </w:rPr>
  </w:style>
  <w:style w:type="character" w:styleId="char0" w:default="1">
    <w:name w:val="Default Paragraph Font"/>
  </w:style>
  <w:style w:type="character" w:styleId="char1" w:customStyle="1">
    <w:name w:val="WW8Num2z0"/>
    <w:rPr>
      <w:rFonts w:eastAsia="Times New Roman" w:cs="Times New Roman"/>
    </w:rPr>
  </w:style>
  <w:style w:type="character" w:styleId="char2" w:customStyle="1">
    <w:name w:val="WW8Num3z0"/>
    <w:rPr>
      <w:rFonts w:cs="Times New Roman"/>
    </w:rPr>
  </w:style>
  <w:style w:type="character" w:styleId="char3" w:customStyle="1">
    <w:name w:val="Основной шрифт абзаца4"/>
  </w:style>
  <w:style w:type="character" w:styleId="char4" w:customStyle="1">
    <w:name w:val="Основной шрифт абзаца3"/>
  </w:style>
  <w:style w:type="character" w:styleId="char5" w:customStyle="1">
    <w:name w:val="Основной шрифт абзаца2"/>
  </w:style>
  <w:style w:type="character" w:styleId="char6" w:customStyle="1">
    <w:name w:val="WW8Num1z0"/>
  </w:style>
  <w:style w:type="character" w:styleId="char7" w:customStyle="1">
    <w:name w:val="WW8Num3z1"/>
    <w:rPr>
      <w:rFonts w:cs="Times New Roman"/>
    </w:rPr>
  </w:style>
  <w:style w:type="character" w:styleId="char8" w:customStyle="1">
    <w:name w:val="WW8Num4z0"/>
    <w:rPr>
      <w:rFonts w:ascii="Symbol" w:hAnsi="Symbol" w:cs="Symbol"/>
    </w:rPr>
  </w:style>
  <w:style w:type="character" w:styleId="char9" w:customStyle="1">
    <w:name w:val="WW8Num4z1"/>
    <w:rPr>
      <w:rFonts w:ascii="Courier New" w:hAnsi="Courier New" w:cs="Courier New"/>
    </w:rPr>
  </w:style>
  <w:style w:type="character" w:styleId="char10" w:customStyle="1">
    <w:name w:val="WW8Num4z2"/>
    <w:rPr>
      <w:rFonts w:ascii="Wingdings" w:hAnsi="Wingdings" w:cs="Wingdings"/>
    </w:rPr>
  </w:style>
  <w:style w:type="character" w:styleId="char11" w:customStyle="1">
    <w:name w:val="Основной шрифт абзаца1"/>
  </w:style>
  <w:style w:type="character" w:styleId="char12">
    <w:name w:val="Page Number"/>
  </w:style>
  <w:style w:type="character" w:styleId="char13" w:customStyle="1">
    <w:name w:val="Верхний колонтитул Знак"/>
  </w:style>
  <w:style w:type="character" w:styleId="char14" w:customStyle="1">
    <w:name w:val="Основной текст 2 Знак"/>
  </w:style>
  <w:style w:type="character" w:styleId="char15" w:customStyle="1">
    <w:name w:val="Заголовок 5 Знак"/>
    <w:rPr>
      <w:b/>
    </w:rPr>
  </w:style>
  <w:style w:type="character" w:styleId="char16" w:customStyle="1">
    <w:name w:val="Название Знак"/>
    <w:rPr>
      <w:b/>
      <w:sz w:val="24"/>
    </w:rPr>
  </w:style>
  <w:style w:type="character" w:styleId="char17">
    <w:name w:val="Hyperlink"/>
    <w:rPr>
      <w:color w:val="0000ff"/>
      <w:u w:color="auto" w:val="single"/>
    </w:rPr>
  </w:style>
  <w:style w:type="character" w:styleId="char18" w:customStyle="1">
    <w:name w:val="Основной текст 3 Знак"/>
    <w:rPr>
      <w:sz w:val="28"/>
    </w:rPr>
  </w:style>
  <w:style w:type="character" w:styleId="char19" w:customStyle="1">
    <w:name w:val="Основной текст Знак"/>
    <w:rPr>
      <w:sz w:val="24"/>
      <w:szCs w:val="24"/>
    </w:rPr>
  </w:style>
  <w:style w:type="character" w:styleId="char20" w:customStyle="1">
    <w:name w:val="Подзаголовок Знак"/>
    <w:rPr>
      <w:b/>
      <w:bCs/>
      <w:i/>
      <w:iCs/>
      <w:sz w:val="32"/>
      <w:szCs w:val="24"/>
    </w:rPr>
  </w:style>
  <w:style w:type="character" w:styleId="char21" w:customStyle="1">
    <w:name w:val="Нижний колонтитул Знак"/>
  </w:style>
  <w:style w:type="character" w:styleId="char22" w:customStyle="1">
    <w:name w:val="Основной текст с отступом 2 Знак"/>
    <w:rPr>
      <w:sz w:val="24"/>
      <w:szCs w:val="24"/>
    </w:rPr>
  </w:style>
  <w:style w:type="character" w:styleId="char23" w:customStyle="1">
    <w:name w:val="Font Style21"/>
    <w:rPr>
      <w:rFonts w:ascii="Times New Roman" w:hAnsi="Times New Roman" w:cs="Times New Roman"/>
      <w:sz w:val="24"/>
      <w:szCs w:val="24"/>
    </w:rPr>
  </w:style>
  <w:style w:type="character" w:styleId="char24">
    <w:name w:val="Strong"/>
    <w:rPr>
      <w:b/>
      <w:bCs/>
    </w:rPr>
  </w:style>
  <w:style w:type="character" w:styleId="char25">
    <w:name w:val="Emphasis"/>
    <w:rPr>
      <w:i/>
      <w:iCs/>
    </w:rPr>
  </w:style>
  <w:style w:type="character" w:styleId="char26" w:customStyle="1">
    <w:name w:val="Текст Знак"/>
    <w:rPr>
      <w:rFonts w:ascii="Courier New" w:hAnsi="Courier New" w:cs="Courier New"/>
    </w:rPr>
  </w:style>
  <w:style w:type="character" w:styleId="char27" w:customStyle="1">
    <w:name w:val="apple-converted-space"/>
  </w:style>
  <w:style w:type="character" w:styleId="char28" w:customStyle="1">
    <w:name w:val="apple-style-span"/>
  </w:style>
  <w:style w:type="character" w:styleId="char29" w:customStyle="1">
    <w:name w:val="c4"/>
  </w:style>
  <w:style w:type="character" w:styleId="char30" w:customStyle="1">
    <w:name w:val="Основной текст2"/>
    <w:rPr>
      <w:rFonts w:ascii="Times New Roman" w:hAnsi="Times New Roman" w:eastAsia="Times New Roman" w:cs="Times New Roman"/>
      <w:b w:val="0"/>
      <w:bCs w:val="0"/>
      <w:i w:val="0"/>
      <w:iCs w:val="0"/>
      <w:caps w:val="0"/>
      <w:smallCaps w:val="0"/>
      <w:strike w:val="0"/>
      <w:dstrike w:val="0"/>
      <w:color w:val="000000"/>
      <w:spacing w:val="2" w:percent="102"/>
      <w:w w:val="100"/>
      <w:sz w:val="25"/>
      <w:szCs w:val="25"/>
      <w:u w:color="auto" w:val="none"/>
      <w:shd w:val="clear" w:fill="ffffff"/>
      <w:vertAlign w:val="baseline"/>
      <w:lang w:val="ru-ru"/>
    </w:rPr>
  </w:style>
  <w:style w:type="character" w:styleId="char31" w:customStyle="1">
    <w:name w:val="Основной текст (3)_"/>
    <w:rPr>
      <w:b/>
      <w:bCs/>
      <w:sz w:val="28"/>
      <w:szCs w:val="28"/>
      <w:shd w:val="clear" w:fill="ffffff"/>
    </w:rPr>
  </w:style>
  <w:style w:type="character" w:styleId="char32" w:customStyle="1">
    <w:name w:val="Без интервала Знак"/>
    <w:rPr>
      <w:rFonts w:eastAsia="Calibri"/>
      <w:sz w:val="28"/>
      <w:szCs w:val="24"/>
      <w:lang w:bidi="ar-sa"/>
    </w:rPr>
  </w:style>
  <w:style w:type="character" w:styleId="char33" w:customStyle="1">
    <w:name w:val="blk"/>
  </w:style>
  <w:style w:type="character" w:styleId="char34" w:customStyle="1">
    <w:name w:val="Текст выноски Знак"/>
    <w:rPr>
      <w:rFonts w:ascii="Tahoma" w:hAnsi="Tahoma" w:cs="Tahoma"/>
      <w:sz w:val="16"/>
      <w:szCs w:val="16"/>
    </w:rPr>
  </w:style>
  <w:style w:type="character" w:styleId="char35" w:customStyle="1">
    <w:name w:val="Заголовок 2 Знак"/>
    <w:rPr>
      <w:sz w:val="24"/>
    </w:rPr>
  </w:style>
  <w:style w:type="character" w:styleId="char36" w:customStyle="1">
    <w:name w:val="Стандартный HTML Знак"/>
    <w:rPr>
      <w:rFonts w:ascii="Courier New" w:hAnsi="Courier New" w:cs="Courier New"/>
      <w:lang w:val="en-us"/>
    </w:rPr>
  </w:style>
  <w:style w:type="character" w:styleId="char37" w:customStyle="1">
    <w:name w:val="Заголовок №4_"/>
    <w:rPr>
      <w:rFonts w:ascii="Calibri" w:hAnsi="Calibri" w:cs="Calibri"/>
      <w:spacing w:val="172" w:percent="300"/>
      <w:sz w:val="19"/>
      <w:szCs w:val="19"/>
      <w:shd w:val="clear" w:fill="ffffff"/>
    </w:rPr>
  </w:style>
  <w:style w:type="character" w:styleId="char38" w:customStyle="1">
    <w:name w:val="Знак примечания1"/>
    <w:rPr>
      <w:sz w:val="16"/>
      <w:szCs w:val="16"/>
    </w:rPr>
  </w:style>
  <w:style w:type="character" w:styleId="char39" w:customStyle="1">
    <w:name w:val="Текст примечания Знак"/>
  </w:style>
  <w:style w:type="character" w:styleId="char40" w:customStyle="1">
    <w:name w:val="Тема примечания Знак"/>
    <w:rPr>
      <w:b/>
      <w:bCs/>
    </w:rPr>
  </w:style>
  <w:style w:type="character" w:styleId="char41" w:customStyle="1">
    <w:name w:val="Абзац Знак"/>
    <w:rPr>
      <w:rFonts w:ascii="Arial" w:hAnsi="Arial" w:cs="Arial"/>
      <w:color w:val="000000"/>
      <w:sz w:val="32"/>
      <w:szCs w:val="32"/>
      <w:shd w:val="clear" w:fill="ffffff"/>
    </w:rPr>
  </w:style>
  <w:style w:type="character" w:styleId="char42" w:customStyle="1">
    <w:name w:val="Неразрешенное упоминание1"/>
    <w:rPr>
      <w:color w:val="605e5c"/>
      <w:shd w:val="clear" w:fill="e1dfdd"/>
    </w:rPr>
  </w:style>
  <w:style w:type="character" w:styleId="char43" w:customStyle="1">
    <w:name w:val="d1b3e66892ddc81enormaltextrun"/>
  </w:style>
  <w:style w:type="character" w:styleId="char44" w:customStyle="1">
    <w:name w:val="bbfc84cb473cbf47eop"/>
  </w:style>
  <w:style w:type="character" w:styleId="char45" w:customStyle="1">
    <w:name w:val="ListLabel 1"/>
  </w:style>
  <w:style w:type="character" w:styleId="char46" w:customStyle="1">
    <w:name w:val="ListLabel 2"/>
  </w:style>
  <w:style w:type="character" w:styleId="char47" w:customStyle="1">
    <w:name w:val="ListLabel 3"/>
  </w:style>
  <w:style w:type="character" w:styleId="char48" w:customStyle="1">
    <w:name w:val="ListLabel 4"/>
  </w:style>
  <w:style w:type="character" w:styleId="char49" w:customStyle="1">
    <w:name w:val="ListLabel 5"/>
  </w:style>
  <w:style w:type="character" w:styleId="char50" w:customStyle="1">
    <w:name w:val="ListLabel 6"/>
  </w:style>
  <w:style w:type="character" w:styleId="char51" w:customStyle="1">
    <w:name w:val="ListLabel 7"/>
  </w:style>
  <w:style w:type="character" w:styleId="char52" w:customStyle="1">
    <w:name w:val="ListLabel 8"/>
  </w:style>
  <w:style w:type="character" w:styleId="char53" w:customStyle="1">
    <w:name w:val="ListLabel 9"/>
  </w:style>
  <w:style w:type="character" w:styleId="char54" w:customStyle="1">
    <w:name w:val="ListLabel 28"/>
    <w:rPr>
      <w:color w:val="auto"/>
    </w:rPr>
  </w:style>
  <w:style w:type="character" w:styleId="char55" w:customStyle="1">
    <w:name w:val="ListLabel 29"/>
    <w:rPr>
      <w:rFonts w:cs="Courier New"/>
    </w:rPr>
  </w:style>
  <w:style w:type="character" w:styleId="char56" w:customStyle="1">
    <w:name w:val="ListLabel 30"/>
  </w:style>
  <w:style w:type="character" w:styleId="char57" w:customStyle="1">
    <w:name w:val="ListLabel 31"/>
  </w:style>
  <w:style w:type="character" w:styleId="char58" w:customStyle="1">
    <w:name w:val="ListLabel 32"/>
    <w:rPr>
      <w:rFonts w:cs="Courier New"/>
    </w:rPr>
  </w:style>
  <w:style w:type="character" w:styleId="char59" w:customStyle="1">
    <w:name w:val="ListLabel 33"/>
  </w:style>
  <w:style w:type="character" w:styleId="char60" w:customStyle="1">
    <w:name w:val="ListLabel 34"/>
  </w:style>
  <w:style w:type="character" w:styleId="char61" w:customStyle="1">
    <w:name w:val="ListLabel 35"/>
    <w:rPr>
      <w:rFonts w:cs="Courier New"/>
    </w:rPr>
  </w:style>
  <w:style w:type="character" w:styleId="char62" w:customStyle="1">
    <w:name w:val="ListLabel 36"/>
  </w:style>
  <w:style w:type="character" w:styleId="char63" w:customStyle="1">
    <w:name w:val="ListLabel 10"/>
  </w:style>
  <w:style w:type="character" w:styleId="char64" w:customStyle="1">
    <w:name w:val="ListLabel 11"/>
  </w:style>
  <w:style w:type="character" w:styleId="char65" w:customStyle="1">
    <w:name w:val="ListLabel 12"/>
  </w:style>
  <w:style w:type="character" w:styleId="char66" w:customStyle="1">
    <w:name w:val="ListLabel 13"/>
  </w:style>
  <w:style w:type="character" w:styleId="char67" w:customStyle="1">
    <w:name w:val="ListLabel 14"/>
  </w:style>
  <w:style w:type="character" w:styleId="char68" w:customStyle="1">
    <w:name w:val="ListLabel 15"/>
  </w:style>
  <w:style w:type="character" w:styleId="char69" w:customStyle="1">
    <w:name w:val="ListLabel 16"/>
  </w:style>
  <w:style w:type="character" w:styleId="char70" w:customStyle="1">
    <w:name w:val="ListLabel 17"/>
  </w:style>
  <w:style w:type="character" w:styleId="char71" w:customStyle="1">
    <w:name w:val="ListLabel 18"/>
  </w:style>
  <w:style w:type="character" w:styleId="char72" w:customStyle="1">
    <w:name w:val="ListLabel 146"/>
    <w:rPr>
      <w:rFonts w:cs="Times New Roman"/>
    </w:rPr>
  </w:style>
  <w:style w:type="character" w:styleId="char73" w:customStyle="1">
    <w:name w:val="ListLabel 147"/>
    <w:rPr>
      <w:rFonts w:cs="Times New Roman"/>
    </w:rPr>
  </w:style>
  <w:style w:type="character" w:styleId="char74" w:customStyle="1">
    <w:name w:val="ListLabel 148"/>
    <w:rPr>
      <w:rFonts w:cs="Times New Roman"/>
    </w:rPr>
  </w:style>
  <w:style w:type="character" w:styleId="char75" w:customStyle="1">
    <w:name w:val="ListLabel 149"/>
    <w:rPr>
      <w:rFonts w:cs="Times New Roman"/>
    </w:rPr>
  </w:style>
  <w:style w:type="character" w:styleId="char76" w:customStyle="1">
    <w:name w:val="ListLabel 150"/>
    <w:rPr>
      <w:rFonts w:cs="Times New Roman"/>
    </w:rPr>
  </w:style>
  <w:style w:type="character" w:styleId="char77" w:customStyle="1">
    <w:name w:val="ListLabel 151"/>
    <w:rPr>
      <w:rFonts w:cs="Times New Roman"/>
    </w:rPr>
  </w:style>
  <w:style w:type="character" w:styleId="char78" w:customStyle="1">
    <w:name w:val="ListLabel 152"/>
    <w:rPr>
      <w:rFonts w:cs="Times New Roman"/>
    </w:rPr>
  </w:style>
  <w:style w:type="character" w:styleId="char79" w:customStyle="1">
    <w:name w:val="ListLabel 153"/>
    <w:rPr>
      <w:rFonts w:cs="Times New Roman"/>
    </w:rPr>
  </w:style>
  <w:style w:type="character" w:styleId="char80" w:customStyle="1">
    <w:name w:val="ListLabel 154"/>
    <w:rPr>
      <w:rFonts w:cs="Times New Roman"/>
    </w:rPr>
  </w:style>
  <w:style w:type="character" w:styleId="char81" w:customStyle="1">
    <w:name w:val="Основной текст1"/>
    <w:rPr>
      <w:rFonts w:ascii="Times New Roman" w:hAnsi="Times New Roman" w:eastAsia="Times New Roman" w:cs="Times New Roman"/>
      <w:color w:val="auto"/>
      <w:spacing w:val="0" w:percent="100"/>
      <w:w w:val="100"/>
      <w:shd w:val="clear" w:fill="auto"/>
      <w:vertAlign w:val="baseline"/>
      <w:lang w:val="ru-ru"/>
    </w:rPr>
  </w:style>
  <w:style w:type="character" w:styleId="char82" w:customStyle="1">
    <w:name w:val="Привязка сноски"/>
    <w:rPr>
      <w:vertAlign w:val="baseline"/>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Times New Roman" w:cs="Times New Roman"/>
        <w:sz w:val="20"/>
        <w:szCs w:val="20"/>
        <w:lang w:val="ru-ru" w:eastAsia="zh-cn" w:bidi="ar-sa"/>
      </w:rPr>
    </w:rPrDefault>
    <w:pPrDefault>
      <w:pPr>
        <w:suppressAutoHyphens/>
        <w:hyphenationLines w:val="0"/>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numPr>
        <w:ilvl w:val="0"/>
        <w:numId w:val="4"/>
      </w:numPr>
      <w:ind w:left="0" w:firstLine="0"/>
      <w:spacing/>
      <w:jc w:val="center"/>
      <w:keepNext/>
      <w:outlineLvl w:val="0"/>
      <w:widowControl/>
      <w:tabs defTabSz="720">
        <w:tab w:val="left" w:pos="0" w:leader="none"/>
      </w:tabs>
    </w:pPr>
    <w:rPr>
      <w:b/>
      <w:sz w:val="24"/>
    </w:rPr>
  </w:style>
  <w:style w:type="paragraph" w:styleId="para2">
    <w:name w:val="heading 2"/>
    <w:qFormat/>
    <w:basedOn w:val="para0"/>
    <w:next w:val="para0"/>
    <w:pPr>
      <w:numPr>
        <w:ilvl w:val="1"/>
        <w:numId w:val="4"/>
      </w:numPr>
      <w:ind w:left="0" w:firstLine="0"/>
      <w:keepNext/>
      <w:outlineLvl w:val="1"/>
      <w:widowControl/>
      <w:tabs defTabSz="720">
        <w:tab w:val="left" w:pos="0" w:leader="none"/>
      </w:tabs>
    </w:pPr>
    <w:rPr>
      <w:sz w:val="24"/>
    </w:rPr>
  </w:style>
  <w:style w:type="paragraph" w:styleId="para3">
    <w:name w:val="heading 3"/>
    <w:qFormat/>
    <w:basedOn w:val="para0"/>
    <w:next w:val="para0"/>
    <w:pPr>
      <w:numPr>
        <w:ilvl w:val="2"/>
        <w:numId w:val="4"/>
      </w:numPr>
      <w:ind w:left="0" w:firstLine="0"/>
      <w:spacing/>
      <w:jc w:val="both"/>
      <w:keepNext/>
      <w:outlineLvl w:val="2"/>
      <w:widowControl/>
      <w:tabs defTabSz="720">
        <w:tab w:val="left" w:pos="0" w:leader="none"/>
      </w:tabs>
    </w:pPr>
    <w:rPr>
      <w:sz w:val="24"/>
    </w:rPr>
  </w:style>
  <w:style w:type="paragraph" w:styleId="para4">
    <w:name w:val="heading 4"/>
    <w:qFormat/>
    <w:basedOn w:val="para0"/>
    <w:next w:val="para0"/>
    <w:pPr>
      <w:numPr>
        <w:ilvl w:val="3"/>
        <w:numId w:val="4"/>
      </w:numPr>
      <w:ind w:left="0" w:firstLine="0"/>
      <w:keepNext/>
      <w:outlineLvl w:val="3"/>
      <w:widowControl/>
      <w:tabs defTabSz="720">
        <w:tab w:val="left" w:pos="0" w:leader="none"/>
      </w:tabs>
    </w:pPr>
    <w:rPr>
      <w:b/>
    </w:rPr>
  </w:style>
  <w:style w:type="paragraph" w:styleId="para5">
    <w:name w:val="heading 5"/>
    <w:qFormat/>
    <w:basedOn w:val="para0"/>
    <w:next w:val="para0"/>
    <w:pPr>
      <w:numPr>
        <w:ilvl w:val="4"/>
        <w:numId w:val="4"/>
      </w:numPr>
      <w:ind w:left="0" w:firstLine="0"/>
      <w:spacing/>
      <w:jc w:val="center"/>
      <w:keepNext/>
      <w:outlineLvl w:val="4"/>
      <w:widowControl/>
      <w:tabs defTabSz="720">
        <w:tab w:val="left" w:pos="0" w:leader="none"/>
      </w:tabs>
    </w:pPr>
    <w:rPr>
      <w:b/>
    </w:rPr>
  </w:style>
  <w:style w:type="paragraph" w:styleId="para6">
    <w:name w:val="heading 6"/>
    <w:qFormat/>
    <w:basedOn w:val="para0"/>
    <w:next w:val="para0"/>
    <w:pPr>
      <w:numPr>
        <w:ilvl w:val="5"/>
        <w:numId w:val="4"/>
      </w:numPr>
      <w:ind w:left="0" w:firstLine="0"/>
      <w:spacing/>
      <w:jc w:val="both"/>
      <w:keepNext/>
      <w:outlineLvl w:val="5"/>
      <w:widowControl/>
      <w:tabs defTabSz="720">
        <w:tab w:val="left" w:pos="0" w:leader="none"/>
      </w:tabs>
    </w:pPr>
    <w:rPr>
      <w:b/>
    </w:rPr>
  </w:style>
  <w:style w:type="paragraph" w:styleId="para7">
    <w:name w:val="heading 7"/>
    <w:qFormat/>
    <w:basedOn w:val="para0"/>
    <w:next w:val="para0"/>
    <w:pPr>
      <w:numPr>
        <w:ilvl w:val="6"/>
        <w:numId w:val="4"/>
      </w:numPr>
      <w:ind w:left="0" w:firstLine="0"/>
      <w:spacing/>
      <w:jc w:val="both"/>
      <w:keepNext/>
      <w:outlineLvl w:val="6"/>
      <w:widowControl/>
      <w:tabs defTabSz="720">
        <w:tab w:val="left" w:pos="0" w:leader="none"/>
      </w:tabs>
    </w:pPr>
    <w:rPr>
      <w:b/>
      <w:sz w:val="24"/>
    </w:rPr>
  </w:style>
  <w:style w:type="paragraph" w:styleId="para8">
    <w:name w:val="heading 8"/>
    <w:qFormat/>
    <w:basedOn w:val="para0"/>
    <w:next w:val="para0"/>
    <w:pPr>
      <w:numPr>
        <w:ilvl w:val="7"/>
        <w:numId w:val="4"/>
      </w:numPr>
      <w:ind w:left="0" w:firstLine="0"/>
      <w:spacing/>
      <w:jc w:val="center"/>
      <w:keepNext/>
      <w:outlineLvl w:val="7"/>
      <w:widowControl/>
      <w:tabs defTabSz="720">
        <w:tab w:val="left" w:pos="0" w:leader="none"/>
      </w:tabs>
    </w:pPr>
    <w:rPr>
      <w:b/>
      <w:sz w:val="22"/>
    </w:rPr>
  </w:style>
  <w:style w:type="paragraph" w:styleId="para9">
    <w:name w:val="heading 9"/>
    <w:qFormat/>
    <w:basedOn w:val="para0"/>
    <w:next w:val="para0"/>
    <w:pPr>
      <w:numPr>
        <w:ilvl w:val="8"/>
        <w:numId w:val="4"/>
      </w:numPr>
      <w:ind w:left="174" w:firstLine="0"/>
      <w:keepNext/>
      <w:outlineLvl w:val="8"/>
      <w:widowControl/>
      <w:tabs defTabSz="720">
        <w:tab w:val="left" w:pos="0" w:leader="none"/>
      </w:tabs>
    </w:pPr>
    <w:rPr>
      <w:rFonts w:ascii="Arial" w:hAnsi="Arial" w:cs="Arial"/>
      <w:sz w:val="24"/>
    </w:rPr>
  </w:style>
  <w:style w:type="paragraph" w:styleId="para10" w:customStyle="1">
    <w:name w:val="Заголовок4"/>
    <w:qFormat/>
    <w:basedOn w:val="para0"/>
    <w:next w:val="para11"/>
    <w:pPr>
      <w:spacing w:before="240" w:after="120"/>
      <w:keepNext/>
    </w:pPr>
    <w:rPr>
      <w:rFonts w:ascii="PT Astra Serif" w:hAnsi="PT Astra Serif" w:eastAsia="Tahoma" w:cs="Noto Sans Devanagari"/>
      <w:sz w:val="28"/>
      <w:szCs w:val="28"/>
    </w:rPr>
  </w:style>
  <w:style w:type="paragraph" w:styleId="para11">
    <w:name w:val="Body Text"/>
    <w:qFormat/>
    <w:basedOn w:val="para0"/>
    <w:pPr>
      <w:spacing w:after="120"/>
      <w:widowControl/>
    </w:pPr>
    <w:rPr>
      <w:sz w:val="24"/>
      <w:szCs w:val="24"/>
    </w:rPr>
  </w:style>
  <w:style w:type="paragraph" w:styleId="para12">
    <w:name w:val="List"/>
    <w:qFormat/>
    <w:basedOn w:val="para11"/>
    <w:rPr>
      <w:rFonts w:ascii="PT Astra Serif" w:hAnsi="PT Astra Serif" w:cs="Noto Sans Devanagari"/>
    </w:rPr>
  </w:style>
  <w:style w:type="paragraph" w:styleId="para13">
    <w:name w:val="caption"/>
    <w:qFormat/>
    <w:basedOn w:val="para0"/>
    <w:pPr>
      <w:spacing w:before="120" w:after="120"/>
      <w:suppressLineNumbers/>
    </w:pPr>
    <w:rPr>
      <w:rFonts w:ascii="PT Astra Serif" w:hAnsi="PT Astra Serif" w:cs="Noto Sans Devanagari"/>
      <w:i/>
      <w:iCs/>
      <w:sz w:val="24"/>
      <w:szCs w:val="24"/>
    </w:rPr>
  </w:style>
  <w:style w:type="paragraph" w:styleId="para14" w:customStyle="1">
    <w:name w:val="Указатель4"/>
    <w:qFormat/>
    <w:basedOn w:val="para0"/>
    <w:pPr>
      <w:suppressLineNumbers/>
    </w:pPr>
    <w:rPr>
      <w:rFonts w:ascii="PT Astra Serif" w:hAnsi="PT Astra Serif" w:cs="Noto Sans Devanagari"/>
    </w:rPr>
  </w:style>
  <w:style w:type="paragraph" w:styleId="para15" w:customStyle="1">
    <w:name w:val="Заголовок3"/>
    <w:qFormat/>
    <w:basedOn w:val="para0"/>
    <w:next w:val="para11"/>
    <w:pPr>
      <w:spacing w:before="240" w:after="120"/>
      <w:keepNext/>
    </w:pPr>
    <w:rPr>
      <w:rFonts w:ascii="PT Astra Serif" w:hAnsi="PT Astra Serif" w:eastAsia="Tahoma" w:cs="Noto Sans Devanagari"/>
      <w:sz w:val="28"/>
      <w:szCs w:val="28"/>
    </w:rPr>
  </w:style>
  <w:style w:type="paragraph" w:styleId="para16" w:customStyle="1">
    <w:name w:val="Название объекта3"/>
    <w:qFormat/>
    <w:basedOn w:val="para0"/>
    <w:pPr>
      <w:spacing w:before="120" w:after="120"/>
      <w:suppressLineNumbers/>
    </w:pPr>
    <w:rPr>
      <w:rFonts w:ascii="PT Astra Serif" w:hAnsi="PT Astra Serif" w:cs="Noto Sans Devanagari"/>
      <w:i/>
      <w:iCs/>
      <w:sz w:val="24"/>
      <w:szCs w:val="24"/>
    </w:rPr>
  </w:style>
  <w:style w:type="paragraph" w:styleId="para17" w:customStyle="1">
    <w:name w:val="Указатель3"/>
    <w:qFormat/>
    <w:basedOn w:val="para0"/>
    <w:pPr>
      <w:suppressLineNumbers/>
    </w:pPr>
    <w:rPr>
      <w:rFonts w:ascii="PT Astra Serif" w:hAnsi="PT Astra Serif" w:cs="Noto Sans Devanagari"/>
    </w:rPr>
  </w:style>
  <w:style w:type="paragraph" w:styleId="para18" w:customStyle="1">
    <w:name w:val="Заголовок2"/>
    <w:qFormat/>
    <w:basedOn w:val="para0"/>
    <w:next w:val="para11"/>
    <w:pPr>
      <w:spacing w:before="240" w:after="120"/>
      <w:keepNext/>
    </w:pPr>
    <w:rPr>
      <w:rFonts w:ascii="PT Astra Serif" w:hAnsi="PT Astra Serif" w:eastAsia="Tahoma" w:cs="Noto Sans Devanagari"/>
      <w:sz w:val="28"/>
      <w:szCs w:val="28"/>
    </w:rPr>
  </w:style>
  <w:style w:type="paragraph" w:styleId="para19" w:customStyle="1">
    <w:name w:val="Название объекта2"/>
    <w:qFormat/>
    <w:basedOn w:val="para0"/>
    <w:pPr>
      <w:spacing w:before="120" w:after="120"/>
      <w:suppressLineNumbers/>
    </w:pPr>
    <w:rPr>
      <w:rFonts w:ascii="PT Astra Serif" w:hAnsi="PT Astra Serif" w:cs="Noto Sans Devanagari"/>
      <w:i/>
      <w:iCs/>
      <w:sz w:val="24"/>
      <w:szCs w:val="24"/>
    </w:rPr>
  </w:style>
  <w:style w:type="paragraph" w:styleId="para20" w:customStyle="1">
    <w:name w:val="Указатель2"/>
    <w:qFormat/>
    <w:basedOn w:val="para0"/>
    <w:pPr>
      <w:suppressLineNumbers/>
    </w:pPr>
    <w:rPr>
      <w:rFonts w:ascii="PT Astra Serif" w:hAnsi="PT Astra Serif" w:cs="Noto Sans Devanagari"/>
    </w:rPr>
  </w:style>
  <w:style w:type="paragraph" w:styleId="para21" w:customStyle="1">
    <w:name w:val="Заголовок1"/>
    <w:qFormat/>
    <w:basedOn w:val="para0"/>
    <w:next w:val="para11"/>
    <w:pPr>
      <w:spacing/>
      <w:jc w:val="center"/>
      <w:widowControl/>
    </w:pPr>
    <w:rPr>
      <w:b/>
      <w:sz w:val="24"/>
    </w:rPr>
  </w:style>
  <w:style w:type="paragraph" w:styleId="para22" w:customStyle="1">
    <w:name w:val="Название объекта1"/>
    <w:qFormat/>
    <w:basedOn w:val="para0"/>
    <w:pPr>
      <w:spacing w:before="120" w:after="120"/>
      <w:suppressLineNumbers/>
    </w:pPr>
    <w:rPr>
      <w:rFonts w:ascii="PT Astra Serif" w:hAnsi="PT Astra Serif" w:cs="Noto Sans Devanagari"/>
      <w:i/>
      <w:iCs/>
      <w:sz w:val="24"/>
      <w:szCs w:val="24"/>
    </w:rPr>
  </w:style>
  <w:style w:type="paragraph" w:styleId="para23" w:customStyle="1">
    <w:name w:val="Указатель1"/>
    <w:qFormat/>
    <w:basedOn w:val="para0"/>
    <w:pPr>
      <w:suppressLineNumbers/>
    </w:pPr>
    <w:rPr>
      <w:rFonts w:ascii="PT Astra Serif" w:hAnsi="PT Astra Serif" w:cs="Noto Sans Devanagari"/>
    </w:rPr>
  </w:style>
  <w:style w:type="paragraph" w:styleId="para24" w:customStyle="1">
    <w:name w:val="FR1"/>
    <w:qFormat/>
    <w:rPr>
      <w:rFonts w:ascii="Arial" w:hAnsi="Arial" w:eastAsia="Times New Roman" w:cs="Arial"/>
      <w:sz w:val="22"/>
      <w:lang w:val="ru-ru" w:eastAsia="zh-cn" w:bidi="ar-sa"/>
    </w:rPr>
  </w:style>
  <w:style w:type="paragraph" w:styleId="para25">
    <w:name w:val="Body Text Indent"/>
    <w:qFormat/>
    <w:basedOn w:val="para0"/>
    <w:pPr>
      <w:ind w:firstLine="720"/>
      <w:widowControl/>
    </w:pPr>
    <w:rPr>
      <w:sz w:val="28"/>
    </w:rPr>
  </w:style>
  <w:style w:type="paragraph" w:styleId="para26" w:customStyle="1">
    <w:name w:val="Основной текст 31"/>
    <w:qFormat/>
    <w:basedOn w:val="para0"/>
    <w:pPr>
      <w:widowControl/>
    </w:pPr>
    <w:rPr>
      <w:sz w:val="28"/>
    </w:rPr>
  </w:style>
  <w:style w:type="paragraph" w:styleId="para27" w:customStyle="1">
    <w:name w:val="Основной текст с отступом 21"/>
    <w:qFormat/>
    <w:basedOn w:val="para0"/>
    <w:pPr>
      <w:ind w:left="283"/>
      <w:spacing w:after="120" w:line="480" w:lineRule="auto"/>
      <w:widowControl/>
    </w:pPr>
    <w:rPr>
      <w:sz w:val="24"/>
      <w:szCs w:val="24"/>
    </w:rPr>
  </w:style>
  <w:style w:type="paragraph" w:styleId="para28" w:customStyle="1">
    <w:name w:val="Основной текст 21"/>
    <w:qFormat/>
    <w:basedOn w:val="para0"/>
    <w:pPr>
      <w:spacing w:after="120" w:line="480" w:lineRule="auto"/>
    </w:pPr>
  </w:style>
  <w:style w:type="paragraph" w:styleId="para29" w:customStyle="1">
    <w:name w:val="Колонтитул"/>
    <w:qFormat/>
    <w:basedOn w:val="para0"/>
    <w:pPr>
      <w:suppressLineNumbers/>
      <w:tabs defTabSz="720">
        <w:tab w:val="center" w:pos="4819" w:leader="none"/>
        <w:tab w:val="right" w:pos="9638" w:leader="none"/>
      </w:tabs>
    </w:pPr>
  </w:style>
  <w:style w:type="paragraph" w:styleId="para30">
    <w:name w:val="Header"/>
    <w:qFormat/>
    <w:basedOn w:val="para0"/>
    <w:pPr>
      <w:widowControl/>
      <w:tabs defTabSz="720">
        <w:tab w:val="center" w:pos="4153" w:leader="none"/>
        <w:tab w:val="right" w:pos="8306" w:leader="none"/>
      </w:tabs>
    </w:pPr>
  </w:style>
  <w:style w:type="paragraph" w:styleId="para31" w:customStyle="1">
    <w:name w:val="Body Text 2*"/>
    <w:qFormat/>
    <w:basedOn w:val="para0"/>
    <w:pPr>
      <w:ind w:firstLine="720"/>
      <w:spacing/>
      <w:jc w:val="both"/>
      <w:widowControl/>
    </w:pPr>
    <w:rPr>
      <w:sz w:val="24"/>
    </w:rPr>
  </w:style>
  <w:style w:type="paragraph" w:styleId="para32" w:customStyle="1">
    <w:name w:val="Body Text 21"/>
    <w:qFormat/>
    <w:basedOn w:val="para0"/>
    <w:pPr>
      <w:ind w:right="328" w:firstLine="283"/>
      <w:spacing/>
      <w:jc w:val="both"/>
      <w:widowControl/>
    </w:pPr>
    <w:rPr>
      <w:sz w:val="24"/>
    </w:rPr>
  </w:style>
  <w:style w:type="paragraph" w:styleId="para33">
    <w:name w:val="Footer"/>
    <w:qFormat/>
    <w:basedOn w:val="para0"/>
    <w:pPr>
      <w:widowControl/>
      <w:tabs defTabSz="720">
        <w:tab w:val="center" w:pos="4153" w:leader="none"/>
        <w:tab w:val="right" w:pos="8306" w:leader="none"/>
      </w:tabs>
    </w:pPr>
  </w:style>
  <w:style w:type="paragraph" w:styleId="para34" w:customStyle="1">
    <w:name w:val="xl22"/>
    <w:qFormat/>
    <w:basedOn w:val="para0"/>
    <w:pPr>
      <w:spacing w:before="100" w:after="100"/>
      <w:jc w:val="right"/>
      <w:widowControl/>
    </w:pPr>
    <w:rPr>
      <w:sz w:val="24"/>
      <w:szCs w:val="24"/>
    </w:rPr>
  </w:style>
  <w:style w:type="paragraph" w:styleId="para35" w:customStyle="1">
    <w:name w:val="xl24"/>
    <w:qFormat/>
    <w:basedOn w:val="para0"/>
    <w:pPr>
      <w:spacing w:before="100" w:after="100"/>
      <w:jc w:val="center"/>
      <w:widowControl/>
      <w:pBdr>
        <w:top w:val="nil" w:sz="0" w:space="3" w:color="000000" tmln="20, 20, 20, 0, 60"/>
        <w:left w:val="nil" w:sz="0" w:space="3" w:color="000000" tmln="20, 20, 20, 0, 60"/>
        <w:bottom w:val="single" w:sz="4" w:space="0" w:color="000000" tmln="10, 20, 20, 0, 0"/>
        <w:right w:val="single" w:sz="4" w:space="0" w:color="000000" tmln="10, 20, 20, 0, 0"/>
        <w:between w:val="nil" w:sz="0" w:space="0" w:color="000000" tmln="20, 20, 20, 0, 0"/>
      </w:pBdr>
      <w:shd w:val="none"/>
    </w:pPr>
    <w:rPr>
      <w:rFonts w:ascii="Arial" w:hAnsi="Arial" w:cs="Arial"/>
      <w:sz w:val="22"/>
      <w:szCs w:val="22"/>
    </w:rPr>
  </w:style>
  <w:style w:type="paragraph" w:styleId="para36" w:customStyle="1">
    <w:name w:val="xl25"/>
    <w:qFormat/>
    <w:basedOn w:val="para0"/>
    <w:pPr>
      <w:spacing w:before="100" w:after="100"/>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sz w:val="22"/>
      <w:szCs w:val="22"/>
    </w:rPr>
  </w:style>
  <w:style w:type="paragraph" w:styleId="para37" w:customStyle="1">
    <w:name w:val="xl26"/>
    <w:qFormat/>
    <w:basedOn w:val="para0"/>
    <w:pPr>
      <w:spacing w:before="100" w:after="100"/>
      <w:jc w:val="center"/>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38" w:customStyle="1">
    <w:name w:val="xl27"/>
    <w:qFormat/>
    <w:basedOn w:val="para0"/>
    <w:pPr>
      <w:spacing w:before="100" w:after="100"/>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39" w:customStyle="1">
    <w:name w:val="xl28"/>
    <w:qFormat/>
    <w:basedOn w:val="para0"/>
    <w:pPr>
      <w:spacing w:before="100" w:after="100"/>
      <w:jc w:val="center"/>
      <w:widowControl/>
    </w:pPr>
    <w:rPr>
      <w:rFonts w:ascii="Arial" w:hAnsi="Arial" w:cs="Arial"/>
      <w:b/>
      <w:bCs/>
      <w:sz w:val="32"/>
      <w:szCs w:val="32"/>
    </w:rPr>
  </w:style>
  <w:style w:type="paragraph" w:styleId="para40" w:customStyle="1">
    <w:name w:val="xl29"/>
    <w:qFormat/>
    <w:basedOn w:val="para0"/>
    <w:pPr>
      <w:spacing w:before="100" w:after="100"/>
      <w:jc w:val="right"/>
      <w:widowControl/>
      <w:pBdr>
        <w:top w:val="nil" w:sz="0" w:space="3" w:color="000000" tmln="20, 20, 20, 0, 60"/>
        <w:left w:val="nil" w:sz="0" w:space="3" w:color="000000" tmln="20, 20, 20, 0, 6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41" w:customStyle="1">
    <w:name w:val="xl30"/>
    <w:qFormat/>
    <w:basedOn w:val="para0"/>
    <w:pPr>
      <w:spacing w:before="100" w:after="100"/>
      <w:jc w:val="center"/>
      <w:widowControl/>
      <w:pBdr>
        <w:top w:val="nil" w:sz="0" w:space="3" w:color="000000" tmln="20, 20, 20, 0, 60"/>
        <w:left w:val="nil" w:sz="0" w:space="3" w:color="000000" tmln="20, 20, 20, 0, 60"/>
        <w:bottom w:val="single" w:sz="4" w:space="0" w:color="000000" tmln="10, 20, 20, 0, 0"/>
        <w:right w:val="single" w:sz="4" w:space="0" w:color="000000" tmln="10, 20, 20, 0, 0"/>
        <w:between w:val="nil" w:sz="0" w:space="0" w:color="000000" tmln="20, 20, 20, 0, 0"/>
      </w:pBdr>
      <w:shd w:val="none"/>
    </w:pPr>
    <w:rPr>
      <w:rFonts w:ascii="Arial" w:hAnsi="Arial" w:cs="Arial"/>
      <w:sz w:val="24"/>
      <w:szCs w:val="24"/>
    </w:rPr>
  </w:style>
  <w:style w:type="paragraph" w:styleId="para42" w:customStyle="1">
    <w:name w:val="xl31"/>
    <w:qFormat/>
    <w:basedOn w:val="para0"/>
    <w:pPr>
      <w:spacing w:before="100" w:after="100"/>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43" w:customStyle="1">
    <w:name w:val="xl32"/>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44" w:customStyle="1">
    <w:name w:val="xl33"/>
    <w:qFormat/>
    <w:basedOn w:val="para0"/>
    <w:pPr>
      <w:spacing w:before="100" w:after="100"/>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45" w:customStyle="1">
    <w:name w:val="xl34"/>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sz w:val="24"/>
      <w:szCs w:val="24"/>
    </w:rPr>
  </w:style>
  <w:style w:type="paragraph" w:styleId="para46" w:customStyle="1">
    <w:name w:val="xl35"/>
    <w:qFormat/>
    <w:basedOn w:val="para0"/>
    <w:pPr>
      <w:spacing w:before="100" w:after="100"/>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sz w:val="24"/>
      <w:szCs w:val="24"/>
    </w:rPr>
  </w:style>
  <w:style w:type="paragraph" w:styleId="para47" w:customStyle="1">
    <w:name w:val="xl36"/>
    <w:qFormat/>
    <w:basedOn w:val="para0"/>
    <w:pPr>
      <w:spacing w:before="100" w:after="100"/>
      <w:jc w:val="right"/>
      <w:widowControl/>
      <w:pBdr>
        <w:top w:val="nil" w:sz="0" w:space="3" w:color="000000" tmln="20, 20, 20, 0, 60"/>
        <w:left w:val="nil" w:sz="0" w:space="3" w:color="000000" tmln="20, 20, 20, 0, 60"/>
        <w:bottom w:val="single" w:sz="4" w:space="0" w:color="000000" tmln="10, 20, 20, 0, 0"/>
        <w:right w:val="single" w:sz="4" w:space="0" w:color="000000" tmln="10, 20, 20, 0, 0"/>
        <w:between w:val="nil" w:sz="0" w:space="0" w:color="000000" tmln="20, 20, 20, 0, 0"/>
      </w:pBdr>
      <w:shd w:val="none"/>
    </w:pPr>
    <w:rPr>
      <w:sz w:val="24"/>
      <w:szCs w:val="24"/>
    </w:rPr>
  </w:style>
  <w:style w:type="paragraph" w:styleId="para48" w:customStyle="1">
    <w:name w:val="xl37"/>
    <w:qFormat/>
    <w:basedOn w:val="para0"/>
    <w:pPr>
      <w:spacing w:before="100" w:after="100"/>
      <w:jc w:val="right"/>
      <w:widowControl/>
      <w:pBdr>
        <w:top w:val="nil" w:sz="0" w:space="3" w:color="000000" tmln="20, 20, 20, 0, 60"/>
        <w:left w:val="nil" w:sz="0" w:space="3" w:color="000000" tmln="20, 20, 20, 0, 60"/>
        <w:bottom w:val="single" w:sz="4" w:space="0" w:color="000000" tmln="10, 20, 20, 0, 0"/>
        <w:right w:val="nil" w:sz="0" w:space="3" w:color="000000" tmln="20, 20, 20, 0, 60"/>
        <w:between w:val="nil" w:sz="0" w:space="0" w:color="000000" tmln="20, 20, 20, 0, 0"/>
      </w:pBdr>
      <w:shd w:val="none"/>
    </w:pPr>
    <w:rPr>
      <w:sz w:val="24"/>
      <w:szCs w:val="24"/>
    </w:rPr>
  </w:style>
  <w:style w:type="paragraph" w:styleId="para49" w:customStyle="1">
    <w:name w:val="xl38"/>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sz w:val="24"/>
      <w:szCs w:val="24"/>
    </w:rPr>
  </w:style>
  <w:style w:type="paragraph" w:styleId="para50" w:customStyle="1">
    <w:name w:val="xl39"/>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sz w:val="24"/>
      <w:szCs w:val="24"/>
    </w:rPr>
  </w:style>
  <w:style w:type="paragraph" w:styleId="para51" w:customStyle="1">
    <w:name w:val="xl40"/>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sz w:val="24"/>
      <w:szCs w:val="24"/>
    </w:rPr>
  </w:style>
  <w:style w:type="paragraph" w:styleId="para52" w:customStyle="1">
    <w:name w:val="xl41"/>
    <w:qFormat/>
    <w:basedOn w:val="para0"/>
    <w:pPr>
      <w:spacing w:before="100" w:after="100"/>
      <w:jc w:val="right"/>
      <w:widowControl/>
      <w:pBdr>
        <w:top w:val="nil" w:sz="0" w:space="3" w:color="000000" tmln="20, 20, 20, 0, 60"/>
        <w:left w:val="nil" w:sz="0" w:space="3" w:color="000000" tmln="20, 20, 20, 0, 60"/>
        <w:bottom w:val="single" w:sz="4" w:space="0" w:color="000000" tmln="10, 20, 20, 0, 0"/>
        <w:right w:val="single" w:sz="4" w:space="0" w:color="000000" tmln="10, 20, 20, 0, 0"/>
        <w:between w:val="nil" w:sz="0" w:space="0" w:color="000000" tmln="20, 20, 20, 0, 0"/>
      </w:pBdr>
      <w:shd w:val="none"/>
    </w:pPr>
    <w:rPr>
      <w:rFonts w:ascii="Arial" w:hAnsi="Arial" w:cs="Arial"/>
      <w:sz w:val="24"/>
      <w:szCs w:val="24"/>
    </w:rPr>
  </w:style>
  <w:style w:type="paragraph" w:styleId="para53" w:customStyle="1">
    <w:name w:val="xl43"/>
    <w:qFormat/>
    <w:basedOn w:val="para0"/>
    <w:pPr>
      <w:spacing w:before="100" w:after="100"/>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sz w:val="24"/>
      <w:szCs w:val="24"/>
    </w:rPr>
  </w:style>
  <w:style w:type="paragraph" w:styleId="para54" w:customStyle="1">
    <w:name w:val="xl44"/>
    <w:qFormat/>
    <w:basedOn w:val="para0"/>
    <w:pPr>
      <w:spacing w:before="100" w:after="100"/>
      <w:jc w:val="right"/>
      <w:widowControl/>
      <w:pBdr>
        <w:top w:val="nil" w:sz="0" w:space="3" w:color="000000" tmln="20, 20, 20, 0, 60"/>
        <w:left w:val="nil" w:sz="0" w:space="3" w:color="000000" tmln="20, 20, 20, 0, 6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55" w:customStyle="1">
    <w:name w:val="xl45"/>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sz w:val="24"/>
      <w:szCs w:val="24"/>
    </w:rPr>
  </w:style>
  <w:style w:type="paragraph" w:styleId="para56" w:customStyle="1">
    <w:name w:val="xl46"/>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sz w:val="24"/>
      <w:szCs w:val="24"/>
    </w:rPr>
  </w:style>
  <w:style w:type="paragraph" w:styleId="para57" w:customStyle="1">
    <w:name w:val="xl47"/>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sz w:val="24"/>
      <w:szCs w:val="24"/>
    </w:rPr>
  </w:style>
  <w:style w:type="paragraph" w:styleId="para58" w:customStyle="1">
    <w:name w:val="xl48"/>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59" w:customStyle="1">
    <w:name w:val="xl49"/>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sz w:val="22"/>
      <w:szCs w:val="22"/>
    </w:rPr>
  </w:style>
  <w:style w:type="paragraph" w:styleId="para60" w:customStyle="1">
    <w:name w:val="xl50"/>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sz w:val="24"/>
      <w:szCs w:val="24"/>
    </w:rPr>
  </w:style>
  <w:style w:type="paragraph" w:styleId="para61" w:customStyle="1">
    <w:name w:val="xl51"/>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sz w:val="24"/>
      <w:szCs w:val="24"/>
    </w:rPr>
  </w:style>
  <w:style w:type="paragraph" w:styleId="para62" w:customStyle="1">
    <w:name w:val="xl52"/>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sz w:val="24"/>
      <w:szCs w:val="24"/>
    </w:rPr>
  </w:style>
  <w:style w:type="paragraph" w:styleId="para63" w:customStyle="1">
    <w:name w:val="xl53"/>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sz w:val="24"/>
      <w:szCs w:val="24"/>
    </w:rPr>
  </w:style>
  <w:style w:type="paragraph" w:styleId="para64" w:customStyle="1">
    <w:name w:val="xl54"/>
    <w:qFormat/>
    <w:basedOn w:val="para0"/>
    <w:pPr>
      <w:spacing w:before="100" w:after="100"/>
      <w:jc w:val="center"/>
      <w:widowControl/>
    </w:pPr>
    <w:rPr>
      <w:rFonts w:ascii="Arial" w:hAnsi="Arial" w:cs="Arial"/>
      <w:b/>
      <w:bCs/>
      <w:sz w:val="24"/>
      <w:szCs w:val="24"/>
    </w:rPr>
  </w:style>
  <w:style w:type="paragraph" w:styleId="para65" w:customStyle="1">
    <w:name w:val="xl55"/>
    <w:qFormat/>
    <w:basedOn w:val="para0"/>
    <w:pPr>
      <w:spacing w:before="100" w:after="100"/>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i/>
      <w:iCs/>
      <w:sz w:val="24"/>
      <w:szCs w:val="24"/>
    </w:rPr>
  </w:style>
  <w:style w:type="paragraph" w:styleId="para66" w:customStyle="1">
    <w:name w:val="xl56"/>
    <w:qFormat/>
    <w:basedOn w:val="para0"/>
    <w:pPr>
      <w:spacing w:before="100" w:after="100"/>
      <w:jc w:val="center"/>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sz w:val="24"/>
      <w:szCs w:val="24"/>
    </w:rPr>
  </w:style>
  <w:style w:type="paragraph" w:styleId="para67" w:customStyle="1">
    <w:name w:val="xl57"/>
    <w:qFormat/>
    <w:basedOn w:val="para0"/>
    <w:pPr>
      <w:spacing w:before="100" w:after="100"/>
      <w:jc w:val="center"/>
      <w:widowControl/>
      <w:pBdr>
        <w:top w:val="single" w:sz="4" w:space="0" w:color="000000" tmln="10, 20, 20, 0, 0"/>
        <w:left w:val="single" w:sz="4" w:space="0" w:color="000000" tmln="10, 20, 20, 0, 0"/>
        <w:bottom w:val="nil" w:sz="0" w:space="3" w:color="000000" tmln="20, 20, 20, 0, 60"/>
        <w:right w:val="single" w:sz="4" w:space="0" w:color="000000" tmln="10, 20, 20, 0, 0"/>
        <w:between w:val="nil" w:sz="0" w:space="0" w:color="000000" tmln="20, 20, 20, 0, 0"/>
      </w:pBdr>
      <w:shd w:val="none"/>
    </w:pPr>
    <w:rPr>
      <w:sz w:val="24"/>
      <w:szCs w:val="24"/>
    </w:rPr>
  </w:style>
  <w:style w:type="paragraph" w:styleId="para68" w:customStyle="1">
    <w:name w:val="xl58"/>
    <w:qFormat/>
    <w:basedOn w:val="para0"/>
    <w:pPr>
      <w:spacing w:before="100" w:after="100"/>
      <w:jc w:val="center"/>
      <w:widowControl/>
      <w:pBdr>
        <w:top w:val="nil" w:sz="0" w:space="3" w:color="000000" tmln="20, 20, 20, 0, 60"/>
        <w:left w:val="single" w:sz="4" w:space="0" w:color="000000" tmln="10, 20, 20, 0, 0"/>
        <w:bottom w:val="nil" w:sz="0" w:space="3" w:color="000000" tmln="20, 20, 20, 0, 60"/>
        <w:right w:val="single" w:sz="4" w:space="0" w:color="000000" tmln="10, 20, 20, 0, 0"/>
        <w:between w:val="nil" w:sz="0" w:space="0" w:color="000000" tmln="20, 20, 20, 0, 0"/>
      </w:pBdr>
      <w:shd w:val="none"/>
    </w:pPr>
    <w:rPr>
      <w:sz w:val="24"/>
      <w:szCs w:val="24"/>
    </w:rPr>
  </w:style>
  <w:style w:type="paragraph" w:styleId="para69" w:customStyle="1">
    <w:name w:val="xl59"/>
    <w:qFormat/>
    <w:basedOn w:val="para0"/>
    <w:pPr>
      <w:spacing w:before="100" w:after="100"/>
      <w:jc w:val="center"/>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sz w:val="24"/>
      <w:szCs w:val="24"/>
    </w:rPr>
  </w:style>
  <w:style w:type="paragraph" w:styleId="para70" w:customStyle="1">
    <w:name w:val="xl60"/>
    <w:qFormat/>
    <w:basedOn w:val="para0"/>
    <w:pPr>
      <w:spacing w:before="100" w:after="100"/>
      <w:jc w:val="center"/>
      <w:widowControl/>
      <w:pBdr>
        <w:top w:val="single" w:sz="4" w:space="0" w:color="000000" tmln="10, 20, 20, 0, 0"/>
        <w:left w:val="single" w:sz="4" w:space="0" w:color="000000" tmln="10, 20, 20, 0, 0"/>
        <w:bottom w:val="nil" w:sz="0" w:space="3" w:color="000000" tmln="20, 20, 20, 0, 60"/>
        <w:right w:val="single" w:sz="4" w:space="0" w:color="000000" tmln="10, 20, 20, 0, 0"/>
        <w:between w:val="nil" w:sz="0" w:space="0" w:color="000000" tmln="20, 20, 20, 0, 0"/>
      </w:pBdr>
      <w:shd w:val="none"/>
    </w:pPr>
    <w:rPr>
      <w:rFonts w:ascii="Arial" w:hAnsi="Arial" w:cs="Arial"/>
      <w:sz w:val="24"/>
      <w:szCs w:val="24"/>
    </w:rPr>
  </w:style>
  <w:style w:type="paragraph" w:styleId="para71" w:customStyle="1">
    <w:name w:val="xl61"/>
    <w:qFormat/>
    <w:basedOn w:val="para0"/>
    <w:pPr>
      <w:spacing w:before="100" w:after="100"/>
      <w:jc w:val="center"/>
      <w:widowControl/>
      <w:pBdr>
        <w:top w:val="nil" w:sz="0" w:space="3" w:color="000000" tmln="20, 20, 20, 0, 60"/>
        <w:left w:val="single" w:sz="4" w:space="0" w:color="000000" tmln="10, 20, 20, 0, 0"/>
        <w:bottom w:val="nil" w:sz="0" w:space="3" w:color="000000" tmln="20, 20, 20, 0, 60"/>
        <w:right w:val="single" w:sz="4" w:space="0" w:color="000000" tmln="10, 20, 20, 0, 0"/>
        <w:between w:val="nil" w:sz="0" w:space="0" w:color="000000" tmln="20, 20, 20, 0, 0"/>
      </w:pBdr>
      <w:shd w:val="none"/>
    </w:pPr>
    <w:rPr>
      <w:rFonts w:ascii="Arial" w:hAnsi="Arial" w:cs="Arial"/>
      <w:sz w:val="24"/>
      <w:szCs w:val="24"/>
    </w:rPr>
  </w:style>
  <w:style w:type="paragraph" w:styleId="para72" w:customStyle="1">
    <w:name w:val="xl62"/>
    <w:qFormat/>
    <w:basedOn w:val="para0"/>
    <w:pPr>
      <w:spacing w:before="100" w:after="100"/>
      <w:jc w:val="center"/>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sz w:val="24"/>
      <w:szCs w:val="24"/>
    </w:rPr>
  </w:style>
  <w:style w:type="paragraph" w:styleId="para73" w:customStyle="1">
    <w:name w:val="xl63"/>
    <w:qFormat/>
    <w:basedOn w:val="para0"/>
    <w:pPr>
      <w:spacing w:before="100" w:after="100"/>
      <w:jc w:val="center"/>
      <w:widowControl/>
      <w:pBdr>
        <w:top w:val="single" w:sz="4" w:space="0" w:color="000000" tmln="10, 20, 20, 0, 0"/>
        <w:left w:val="single" w:sz="4" w:space="0" w:color="000000" tmln="10, 20, 20, 0, 0"/>
        <w:bottom w:val="nil" w:sz="0" w:space="3" w:color="000000" tmln="20, 20, 20, 0, 60"/>
        <w:right w:val="nil" w:sz="0" w:space="3" w:color="000000" tmln="20, 20, 20, 0, 60"/>
        <w:between w:val="nil" w:sz="0" w:space="0" w:color="000000" tmln="20, 20, 20, 0, 0"/>
      </w:pBdr>
      <w:shd w:val="none"/>
    </w:pPr>
    <w:rPr>
      <w:rFonts w:ascii="Arial" w:hAnsi="Arial" w:cs="Arial"/>
      <w:sz w:val="24"/>
      <w:szCs w:val="24"/>
    </w:rPr>
  </w:style>
  <w:style w:type="paragraph" w:styleId="para74" w:customStyle="1">
    <w:name w:val="xl64"/>
    <w:qFormat/>
    <w:basedOn w:val="para0"/>
    <w:pPr>
      <w:spacing w:before="100" w:after="100"/>
      <w:jc w:val="center"/>
      <w:widowControl/>
      <w:pBdr>
        <w:top w:val="nil" w:sz="0" w:space="3" w:color="000000" tmln="20, 20, 20, 0, 60"/>
        <w:left w:val="single" w:sz="4" w:space="0" w:color="000000" tmln="10, 20, 20, 0, 0"/>
        <w:bottom w:val="nil" w:sz="0" w:space="3" w:color="000000" tmln="20, 20, 20, 0, 60"/>
        <w:right w:val="nil" w:sz="0" w:space="3" w:color="000000" tmln="20, 20, 20, 0, 60"/>
        <w:between w:val="nil" w:sz="0" w:space="0" w:color="000000" tmln="20, 20, 20, 0, 0"/>
      </w:pBdr>
      <w:shd w:val="none"/>
    </w:pPr>
    <w:rPr>
      <w:rFonts w:ascii="Arial" w:hAnsi="Arial" w:cs="Arial"/>
      <w:sz w:val="24"/>
      <w:szCs w:val="24"/>
    </w:rPr>
  </w:style>
  <w:style w:type="paragraph" w:styleId="para75" w:customStyle="1">
    <w:name w:val="xl65"/>
    <w:qFormat/>
    <w:basedOn w:val="para0"/>
    <w:pPr>
      <w:spacing w:before="100" w:after="100"/>
      <w:jc w:val="center"/>
      <w:widowControl/>
      <w:pBdr>
        <w:top w:val="nil" w:sz="0" w:space="3" w:color="000000" tmln="20, 20, 20, 0, 60"/>
        <w:left w:val="single" w:sz="4" w:space="0" w:color="000000" tmln="10, 20, 20, 0, 0"/>
        <w:bottom w:val="single" w:sz="4" w:space="0" w:color="000000" tmln="10, 20, 20, 0, 0"/>
        <w:right w:val="nil" w:sz="0" w:space="3" w:color="000000" tmln="20, 20, 20, 0, 60"/>
        <w:between w:val="nil" w:sz="0" w:space="0" w:color="000000" tmln="20, 20, 20, 0, 0"/>
      </w:pBdr>
      <w:shd w:val="none"/>
    </w:pPr>
    <w:rPr>
      <w:rFonts w:ascii="Arial" w:hAnsi="Arial" w:cs="Arial"/>
      <w:sz w:val="24"/>
      <w:szCs w:val="24"/>
    </w:rPr>
  </w:style>
  <w:style w:type="paragraph" w:styleId="para76" w:customStyle="1">
    <w:name w:val="xl66"/>
    <w:qFormat/>
    <w:basedOn w:val="para0"/>
    <w:pPr>
      <w:spacing w:before="100" w:after="100"/>
      <w:jc w:val="center"/>
      <w:widowControl/>
      <w:pBdr>
        <w:top w:val="single" w:sz="4" w:space="0" w:color="000000" tmln="10, 20, 20, 0, 0"/>
        <w:left w:val="single" w:sz="4" w:space="0" w:color="000000" tmln="10, 20, 20, 0, 0"/>
        <w:bottom w:val="nil" w:sz="0" w:space="3" w:color="000000" tmln="20, 20, 20, 0, 60"/>
        <w:right w:val="single" w:sz="4" w:space="0" w:color="000000" tmln="10, 20, 20, 0, 0"/>
        <w:between w:val="nil" w:sz="0" w:space="0" w:color="000000" tmln="20, 20, 20, 0, 0"/>
      </w:pBdr>
      <w:shd w:val="none"/>
    </w:pPr>
    <w:rPr>
      <w:rFonts w:ascii="Arial" w:hAnsi="Arial" w:cs="Arial"/>
      <w:sz w:val="22"/>
      <w:szCs w:val="22"/>
    </w:rPr>
  </w:style>
  <w:style w:type="paragraph" w:styleId="para77" w:customStyle="1">
    <w:name w:val="xl67"/>
    <w:qFormat/>
    <w:basedOn w:val="para0"/>
    <w:pPr>
      <w:spacing w:before="100" w:after="100"/>
      <w:jc w:val="center"/>
      <w:widowControl/>
      <w:pBdr>
        <w:top w:val="nil" w:sz="0" w:space="3" w:color="000000" tmln="20, 20, 20, 0, 60"/>
        <w:left w:val="single" w:sz="4" w:space="0" w:color="000000" tmln="10, 20, 20, 0, 0"/>
        <w:bottom w:val="nil" w:sz="0" w:space="3" w:color="000000" tmln="20, 20, 20, 0, 60"/>
        <w:right w:val="single" w:sz="4" w:space="0" w:color="000000" tmln="10, 20, 20, 0, 0"/>
        <w:between w:val="nil" w:sz="0" w:space="0" w:color="000000" tmln="20, 20, 20, 0, 0"/>
      </w:pBdr>
      <w:shd w:val="none"/>
    </w:pPr>
    <w:rPr>
      <w:rFonts w:ascii="Arial" w:hAnsi="Arial" w:cs="Arial"/>
      <w:sz w:val="22"/>
      <w:szCs w:val="22"/>
    </w:rPr>
  </w:style>
  <w:style w:type="paragraph" w:styleId="para78" w:customStyle="1">
    <w:name w:val="Основной текст с отступом 31"/>
    <w:qFormat/>
    <w:basedOn w:val="para0"/>
    <w:pPr>
      <w:ind w:firstLine="60"/>
      <w:widowControl/>
    </w:pPr>
    <w:rPr>
      <w:bCs/>
      <w:sz w:val="28"/>
    </w:rPr>
  </w:style>
  <w:style w:type="paragraph" w:styleId="para79" w:customStyle="1">
    <w:name w:val="LO-Normal"/>
    <w:qFormat/>
    <w:pPr>
      <w:widowControl/>
    </w:pPr>
    <w:rPr>
      <w:rFonts w:ascii="Times New Roman" w:hAnsi="Times New Roman" w:eastAsia="Times New Roman" w:cs="Times New Roman"/>
      <w:lang w:val="ru-ru" w:eastAsia="zh-cn" w:bidi="ar-sa"/>
    </w:rPr>
  </w:style>
  <w:style w:type="paragraph" w:styleId="para80">
    <w:name w:val="Subtitle"/>
    <w:qFormat/>
    <w:basedOn w:val="para0"/>
    <w:next w:val="para11"/>
    <w:pPr>
      <w:spacing/>
      <w:jc w:val="center"/>
      <w:widowControl/>
    </w:pPr>
    <w:rPr>
      <w:b/>
      <w:bCs/>
      <w:i/>
      <w:iCs/>
      <w:sz w:val="32"/>
      <w:szCs w:val="24"/>
    </w:rPr>
  </w:style>
  <w:style w:type="paragraph" w:styleId="para81" w:customStyle="1">
    <w:name w:val="Body Single"/>
    <w:qFormat/>
    <w:rPr>
      <w:rFonts w:ascii="Times New Roman" w:hAnsi="Times New Roman" w:eastAsia="Times New Roman" w:cs="Times New Roman"/>
      <w:color w:val="000000"/>
      <w:sz w:val="28"/>
      <w:lang w:val="ru-ru" w:eastAsia="zh-cn" w:bidi="ar-sa"/>
    </w:rPr>
  </w:style>
  <w:style w:type="paragraph" w:styleId="para82" w:customStyle="1">
    <w:name w:val="Обычный (Интернет)1"/>
    <w:qFormat/>
    <w:basedOn w:val="para0"/>
    <w:pPr>
      <w:spacing w:before="100" w:after="100"/>
      <w:widowControl/>
    </w:pPr>
    <w:rPr>
      <w:sz w:val="24"/>
      <w:szCs w:val="24"/>
    </w:rPr>
  </w:style>
  <w:style w:type="paragraph" w:styleId="para83" w:customStyle="1">
    <w:name w:val="Iau?iue"/>
    <w:qFormat/>
    <w:pPr>
      <w:widowControl/>
    </w:pPr>
    <w:rPr>
      <w:rFonts w:ascii="a_CityNovaLt" w:hAnsi="a_CityNovaLt" w:eastAsia="Times New Roman" w:cs="a_CityNovaLt"/>
      <w:sz w:val="28"/>
      <w:lang w:val="ru-ru" w:eastAsia="zh-cn" w:bidi="ar-sa"/>
    </w:rPr>
  </w:style>
  <w:style w:type="paragraph" w:styleId="para84" w:customStyle="1">
    <w:name w:val="çàãîëîâîê 1"/>
    <w:qFormat/>
    <w:basedOn w:val="para0"/>
    <w:next w:val="para0"/>
    <w:pPr>
      <w:spacing/>
      <w:jc w:val="center"/>
      <w:keepNext/>
      <w:widowControl/>
    </w:pPr>
    <w:rPr>
      <w:b/>
      <w:bCs/>
      <w:sz w:val="36"/>
      <w:szCs w:val="36"/>
    </w:rPr>
  </w:style>
  <w:style w:type="paragraph" w:styleId="para85">
    <w:name w:val="No Spacing"/>
    <w:qFormat/>
    <w:pPr>
      <w:widowControl/>
    </w:pPr>
    <w:rPr>
      <w:rFonts w:ascii="Times New Roman" w:hAnsi="Times New Roman" w:eastAsia="Calibri" w:cs="Times New Roman"/>
      <w:sz w:val="28"/>
      <w:szCs w:val="24"/>
      <w:lang w:val="ru-ru" w:eastAsia="zh-cn" w:bidi="ar-sa"/>
    </w:rPr>
  </w:style>
  <w:style w:type="paragraph" w:styleId="para86" w:customStyle="1">
    <w:name w:val="List Paragraph*"/>
    <w:qFormat/>
    <w:basedOn w:val="para0"/>
    <w:pPr>
      <w:ind w:left="720"/>
      <w:spacing w:after="200" w:line="276" w:lineRule="auto"/>
      <w:contextualSpacing/>
      <w:widowControl/>
    </w:pPr>
    <w:rPr>
      <w:rFonts w:ascii="Calibri" w:hAnsi="Calibri" w:eastAsia="Calibri" w:cs="Calibri"/>
      <w:sz w:val="22"/>
      <w:szCs w:val="22"/>
    </w:rPr>
  </w:style>
  <w:style w:type="paragraph" w:styleId="para87" w:customStyle="1">
    <w:name w:val="Normal1"/>
    <w:qFormat/>
    <w:pPr>
      <w:widowControl/>
    </w:pPr>
    <w:rPr>
      <w:rFonts w:ascii="Times New Roman" w:hAnsi="Times New Roman" w:eastAsia="Times New Roman" w:cs="Times New Roman"/>
      <w:lang w:val="ru-ru" w:eastAsia="zh-cn" w:bidi="ar-sa"/>
    </w:rPr>
  </w:style>
  <w:style w:type="paragraph" w:styleId="para88" w:customStyle="1">
    <w:name w:val="Style7"/>
    <w:qFormat/>
    <w:basedOn w:val="para0"/>
    <w:pPr>
      <w:ind w:firstLine="703"/>
      <w:spacing w:line="371" w:lineRule="exact"/>
      <w:jc w:val="both"/>
    </w:pPr>
    <w:rPr>
      <w:rFonts w:ascii="Calibri" w:hAnsi="Calibri" w:cs="Calibri"/>
      <w:sz w:val="24"/>
      <w:szCs w:val="24"/>
    </w:rPr>
  </w:style>
  <w:style w:type="paragraph" w:styleId="para89" w:customStyle="1">
    <w:name w:val="No Spacing*"/>
    <w:qFormat/>
    <w:pPr>
      <w:widowControl/>
    </w:pPr>
    <w:rPr>
      <w:rFonts w:ascii="Calibri" w:hAnsi="Calibri" w:eastAsia="Times New Roman" w:cs="Calibri"/>
      <w:sz w:val="22"/>
      <w:szCs w:val="22"/>
      <w:lang w:val="ru-ru" w:eastAsia="zh-cn" w:bidi="ar-sa"/>
    </w:rPr>
  </w:style>
  <w:style w:type="paragraph" w:styleId="para90" w:customStyle="1">
    <w:name w:val="Текст1"/>
    <w:qFormat/>
    <w:basedOn w:val="para0"/>
    <w:pPr>
      <w:widowControl/>
    </w:pPr>
    <w:rPr>
      <w:rFonts w:ascii="Courier New" w:hAnsi="Courier New" w:cs="Courier New"/>
    </w:rPr>
  </w:style>
  <w:style w:type="paragraph" w:styleId="para91">
    <w:name w:val="List Paragraph"/>
    <w:qFormat/>
    <w:basedOn w:val="para0"/>
    <w:pPr>
      <w:ind w:left="720"/>
      <w:spacing w:after="200" w:line="276" w:lineRule="auto"/>
      <w:contextualSpacing/>
      <w:widowControl/>
    </w:pPr>
    <w:rPr>
      <w:rFonts w:ascii="Calibri" w:hAnsi="Calibri" w:cs="Calibri"/>
      <w:sz w:val="22"/>
      <w:szCs w:val="22"/>
    </w:rPr>
  </w:style>
  <w:style w:type="paragraph" w:styleId="para92" w:customStyle="1">
    <w:name w:val="ConsPlusNormal"/>
    <w:qFormat/>
    <w:pPr>
      <w:ind w:firstLine="720"/>
    </w:pPr>
    <w:rPr>
      <w:rFonts w:ascii="Arial" w:hAnsi="Arial" w:eastAsia="Times New Roman" w:cs="Arial"/>
      <w:lang w:val="ru-ru" w:eastAsia="zh-cn" w:bidi="ar-sa"/>
    </w:rPr>
  </w:style>
  <w:style w:type="paragraph" w:styleId="para93" w:customStyle="1">
    <w:name w:val="ConsPlusNonformat"/>
    <w:qFormat/>
    <w:rPr>
      <w:rFonts w:ascii="Courier New" w:hAnsi="Courier New" w:eastAsia="Times New Roman" w:cs="Courier New"/>
      <w:lang w:val="ru-ru" w:eastAsia="zh-cn" w:bidi="ar-sa"/>
    </w:rPr>
  </w:style>
  <w:style w:type="paragraph" w:styleId="para94" w:customStyle="1">
    <w:name w:val="ConsPlusCell"/>
    <w:qFormat/>
    <w:rPr>
      <w:rFonts w:ascii="Arial" w:hAnsi="Arial" w:eastAsia="Times New Roman" w:cs="Arial"/>
      <w:lang w:val="ru-ru" w:eastAsia="zh-cn" w:bidi="ar-sa"/>
    </w:rPr>
  </w:style>
  <w:style w:type="paragraph" w:styleId="para95" w:customStyle="1">
    <w:name w:val="Обычный1"/>
    <w:qFormat/>
    <w:pPr>
      <w:widowControl/>
    </w:pPr>
    <w:rPr>
      <w:rFonts w:ascii="Times New Roman" w:hAnsi="Times New Roman" w:eastAsia="Times New Roman" w:cs="Times New Roman"/>
      <w:sz w:val="24"/>
      <w:lang w:val="ru-ru" w:eastAsia="zh-cn" w:bidi="ar-sa"/>
    </w:rPr>
  </w:style>
  <w:style w:type="paragraph" w:styleId="para96" w:customStyle="1">
    <w:name w:val="Наборный МФЦ"/>
    <w:qFormat/>
    <w:basedOn w:val="para0"/>
    <w:pPr>
      <w:widowControl/>
    </w:pPr>
    <w:rPr>
      <w:rFonts w:ascii="Arial" w:hAnsi="Arial"/>
      <w:color w:val="000000"/>
      <w:sz w:val="18"/>
      <w:szCs w:val="24"/>
    </w:rPr>
  </w:style>
  <w:style w:type="paragraph" w:styleId="para97" w:customStyle="1">
    <w:name w:val="consplustitle"/>
    <w:qFormat/>
    <w:basedOn w:val="para0"/>
    <w:pPr>
      <w:spacing w:before="100" w:after="100"/>
      <w:widowControl/>
    </w:pPr>
    <w:rPr>
      <w:rFonts w:eastAsia="Calibri"/>
      <w:sz w:val="24"/>
      <w:szCs w:val="24"/>
    </w:rPr>
  </w:style>
  <w:style w:type="paragraph" w:styleId="para98" w:customStyle="1">
    <w:name w:val="Основной текст (3)"/>
    <w:qFormat/>
    <w:basedOn w:val="para0"/>
    <w:pPr>
      <w:spacing w:line="322" w:lineRule="exact"/>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pPr>
    <w:rPr>
      <w:b/>
      <w:bCs/>
      <w:sz w:val="28"/>
      <w:szCs w:val="28"/>
    </w:rPr>
  </w:style>
  <w:style w:type="paragraph" w:styleId="para99" w:customStyle="1">
    <w:name w:val="ConsPlusTitle"/>
    <w:qFormat/>
    <w:rPr>
      <w:rFonts w:ascii="Calibri" w:hAnsi="Calibri" w:eastAsia="Times New Roman" w:cs="Calibri"/>
      <w:b/>
      <w:sz w:val="22"/>
      <w:lang w:val="ru-ru" w:eastAsia="zh-cn" w:bidi="ar-sa"/>
    </w:rPr>
  </w:style>
  <w:style w:type="paragraph" w:styleId="para100" w:customStyle="1">
    <w:name w:val="Без интервала1"/>
    <w:qFormat/>
    <w:pPr>
      <w:widowControl/>
    </w:pPr>
    <w:rPr>
      <w:rFonts w:ascii="Calibri" w:hAnsi="Calibri" w:eastAsia="Times New Roman" w:cs="Calibri"/>
      <w:sz w:val="22"/>
      <w:szCs w:val="22"/>
      <w:lang w:val="ru-ru" w:eastAsia="zh-cn" w:bidi="ar-sa"/>
    </w:rPr>
  </w:style>
  <w:style w:type="paragraph" w:styleId="para101">
    <w:name w:val="Balloon Text"/>
    <w:qFormat/>
    <w:basedOn w:val="para0"/>
    <w:rPr>
      <w:rFonts w:ascii="Tahoma" w:hAnsi="Tahoma" w:cs="Tahoma"/>
      <w:sz w:val="16"/>
      <w:szCs w:val="16"/>
    </w:rPr>
  </w:style>
  <w:style w:type="paragraph" w:styleId="para102">
    <w:name w:val="toc 2"/>
    <w:qFormat/>
    <w:basedOn w:val="para0"/>
    <w:next w:val="para0"/>
    <w:pPr>
      <w:ind w:left="200"/>
    </w:pPr>
  </w:style>
  <w:style w:type="paragraph" w:styleId="para103">
    <w:name w:val="toc 1"/>
    <w:qFormat/>
    <w:basedOn w:val="para0"/>
    <w:next w:val="para0"/>
    <w:pPr>
      <w:tabs defTabSz="720">
        <w:tab w:val="left" w:pos="400" w:leader="none"/>
        <w:tab w:val="right" w:pos="10055" w:leader="dot"/>
      </w:tabs>
    </w:pPr>
    <w:rPr>
      <w:b/>
    </w:rPr>
  </w:style>
  <w:style w:type="paragraph" w:styleId="para104">
    <w:name w:val="HTML Preformatted"/>
    <w:qFormat/>
    <w:basedOn w:val="para0"/>
    <w:pPr>
      <w:spacing w:line="216" w:lineRule="atLeast"/>
      <w:widowControl/>
      <w:tabs defTabSz="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lang w:val="en-us"/>
    </w:rPr>
  </w:style>
  <w:style w:type="paragraph" w:styleId="para105" w:customStyle="1">
    <w:name w:val="Заголовок №41"/>
    <w:qFormat/>
    <w:basedOn w:val="para0"/>
    <w:pPr>
      <w:spacing w:before="120" w:after="600" w:line="240" w:lineRule="atLeast"/>
      <w:jc w:val="both"/>
      <w:outlineLvl w:val="3"/>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pPr>
    <w:rPr>
      <w:rFonts w:ascii="Calibri" w:hAnsi="Calibri" w:cs="Calibri"/>
      <w:spacing w:val="3" w:percent="103"/>
      <w:sz w:val="19"/>
      <w:szCs w:val="19"/>
    </w:rPr>
  </w:style>
  <w:style w:type="paragraph" w:styleId="para106" w:customStyle="1">
    <w:name w:val="Текст примечания1"/>
    <w:qFormat/>
    <w:basedOn w:val="para0"/>
  </w:style>
  <w:style w:type="paragraph" w:styleId="para107" w:customStyle="1">
    <w:name w:val="Comment Subject"/>
    <w:qFormat/>
    <w:basedOn w:val="para106"/>
    <w:next w:val="para106"/>
    <w:rPr>
      <w:b/>
      <w:bCs/>
    </w:rPr>
  </w:style>
  <w:style w:type="paragraph" w:styleId="para108" w:customStyle="1">
    <w:name w:val="Абзац"/>
    <w:qFormat/>
    <w:basedOn w:val="para82"/>
    <w:pPr>
      <w:ind w:firstLine="879"/>
      <w:spacing w:before="0" w:after="0"/>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pPr>
    <w:rPr>
      <w:rFonts w:ascii="Arial" w:hAnsi="Arial" w:cs="Arial"/>
      <w:color w:val="000000"/>
      <w:sz w:val="32"/>
      <w:szCs w:val="32"/>
    </w:rPr>
  </w:style>
  <w:style w:type="paragraph" w:styleId="para109" w:customStyle="1">
    <w:name w:val="Default"/>
    <w:qFormat/>
    <w:pPr>
      <w:widowControl/>
    </w:pPr>
    <w:rPr>
      <w:rFonts w:ascii="Times New Roman" w:hAnsi="Times New Roman" w:eastAsia="Calibri" w:cs="Times New Roman"/>
      <w:color w:val="000000"/>
      <w:sz w:val="24"/>
      <w:szCs w:val="24"/>
      <w:lang w:val="ru-ru" w:eastAsia="zh-cn" w:bidi="ar-sa"/>
    </w:rPr>
  </w:style>
  <w:style w:type="paragraph" w:styleId="para110" w:customStyle="1">
    <w:name w:val="Содержимое таблицы"/>
    <w:qFormat/>
    <w:basedOn w:val="para0"/>
    <w:pPr>
      <w:suppressLineNumbers/>
    </w:pPr>
  </w:style>
  <w:style w:type="paragraph" w:styleId="para111" w:customStyle="1">
    <w:name w:val="Заголовок таблицы"/>
    <w:qFormat/>
    <w:basedOn w:val="para110"/>
    <w:pPr>
      <w:spacing/>
      <w:jc w:val="center"/>
    </w:pPr>
    <w:rPr>
      <w:b/>
      <w:bCs/>
    </w:rPr>
  </w:style>
  <w:style w:type="paragraph" w:styleId="para112" w:customStyle="1">
    <w:name w:val="Содержимое врезки"/>
    <w:qFormat/>
    <w:basedOn w:val="para0"/>
  </w:style>
  <w:style w:type="paragraph" w:styleId="para113" w:customStyle="1">
    <w:name w:val="Normal (Web)*"/>
    <w:qFormat/>
    <w:basedOn w:val="para0"/>
    <w:pPr>
      <w:spacing w:before="280" w:after="280"/>
    </w:pPr>
    <w:rPr>
      <w:sz w:val="24"/>
      <w:szCs w:val="24"/>
    </w:rPr>
  </w:style>
  <w:style w:type="paragraph" w:styleId="para114" w:customStyle="1">
    <w:name w:val="Обычный2"/>
    <w:qFormat/>
    <w:pPr>
      <w:widowControl/>
    </w:pPr>
    <w:rPr>
      <w:rFonts w:ascii="Times New Roman" w:hAnsi="Times New Roman" w:eastAsia="Times New Roman" w:cs="Times New Roman"/>
      <w:sz w:val="24"/>
      <w:lang w:val="ru-ru" w:eastAsia="ru-ru" w:bidi="ar-sa"/>
    </w:rPr>
  </w:style>
  <w:style w:type="paragraph" w:styleId="para115">
    <w:name w:val="Normal (Web)"/>
    <w:qFormat/>
    <w:basedOn w:val="para0"/>
  </w:style>
  <w:style w:type="paragraph" w:styleId="para116">
    <w:name w:val="Body Text 2"/>
    <w:qFormat/>
    <w:basedOn w:val="para0"/>
    <w:pPr>
      <w:spacing w:after="120" w:line="480" w:lineRule="auto"/>
    </w:pPr>
  </w:style>
  <w:style w:type="paragraph" w:styleId="para117">
    <w:name w:val="Body Text Indent 2"/>
    <w:qFormat/>
    <w:basedOn w:val="para116"/>
    <w:pPr>
      <w:ind w:left="283"/>
    </w:pPr>
  </w:style>
  <w:style w:type="paragraph" w:styleId="para118" w:customStyle="1">
    <w:name w:val="Îáû÷íûé"/>
    <w:qFormat/>
    <w:pPr>
      <w:hyphenationLines w:val="1"/>
      <w:widowControl/>
      <w:tabs defTabSz="708"/>
    </w:pPr>
    <w:rPr>
      <w:rFonts w:ascii="Times New Roman" w:hAnsi="Times New Roman" w:eastAsia="Times New Roman" w:cs="Times New Roman"/>
      <w:color w:val="000000"/>
      <w:lang w:val="ru-ru" w:eastAsia="zh-cn" w:bidi="ar-sa"/>
    </w:rPr>
  </w:style>
  <w:style w:type="paragraph" w:styleId="para119" w:customStyle="1">
    <w:name w:val="_04xlpa"/>
    <w:qFormat/>
    <w:basedOn w:val="para0"/>
    <w:pPr>
      <w:spacing w:before="100" w:after="100" w:beforeAutospacing="1" w:afterAutospacing="1"/>
      <w:hyphenationLines w:val="1"/>
      <w:widowControl/>
      <w:tabs defTabSz="708"/>
    </w:pPr>
    <w:rPr>
      <w:sz w:val="24"/>
      <w:szCs w:val="24"/>
      <w:lang w:eastAsia="ru-ru"/>
    </w:rPr>
  </w:style>
  <w:style w:type="paragraph" w:styleId="para120" w:customStyle="1">
    <w:name w:val=""/>
    <w:qFormat/>
    <w:basedOn w:val="para0"/>
    <w:next w:val="para115"/>
    <w:pPr>
      <w:spacing w:before="100" w:after="100" w:beforeAutospacing="1" w:afterAutospacing="1"/>
      <w:hyphenationLines w:val="1"/>
      <w:widowControl/>
      <w:tabs defTabSz="708"/>
    </w:pPr>
    <w:rPr>
      <w:sz w:val="24"/>
      <w:szCs w:val="24"/>
      <w:lang w:eastAsia="ru-ru"/>
    </w:rPr>
  </w:style>
  <w:style w:type="paragraph" w:styleId="para121" w:customStyle="1">
    <w:name w:val="Standard"/>
    <w:qFormat/>
    <w:basedOn w:val="para0"/>
    <w:pPr>
      <w:spacing/>
      <w:jc w:val="center"/>
      <w:tabs defTabSz="709"/>
    </w:pPr>
    <w:rPr>
      <w:rFonts w:ascii="PT Astra Serif" w:hAnsi="PT Astra Serif" w:eastAsia="Source Han Sans CN Regular" w:cs="Lohit Devanagari"/>
      <w:kern w:val="1"/>
      <w:sz w:val="28"/>
      <w:szCs w:val="24"/>
      <w:lang w:eastAsia="ru-ru"/>
    </w:rPr>
  </w:style>
  <w:style w:type="paragraph" w:styleId="para122" w:customStyle="1">
    <w:name w:val="First line indent"/>
    <w:qFormat/>
    <w:basedOn w:val="para121"/>
    <w:pPr>
      <w:ind w:firstLine="709"/>
      <w:spacing/>
      <w:jc w:val="both"/>
    </w:pPr>
  </w:style>
  <w:style w:type="paragraph" w:styleId="para123" w:customStyle="1">
    <w:name w:val="Без интервала*"/>
    <w:qFormat/>
    <w:pPr>
      <w:spacing w:after="200" w:line="276" w:lineRule="auto"/>
      <w:widowControl/>
      <w:tabs defTabSz="708"/>
    </w:pPr>
    <w:rPr>
      <w:rFonts w:ascii="Calibri" w:hAnsi="Calibri" w:eastAsia="Calibri" w:cs="Times New Roman"/>
      <w:kern w:val="1"/>
      <w:sz w:val="22"/>
      <w:szCs w:val="22"/>
      <w:lang w:val="ru-ru" w:eastAsia="zh-cn" w:bidi="ar-sa"/>
    </w:rPr>
  </w:style>
  <w:style w:type="paragraph" w:styleId="para124">
    <w:name w:val="Plain Text"/>
    <w:qFormat/>
    <w:basedOn w:val="para0"/>
    <w:rPr>
      <w:rFonts w:ascii="Courier-PS" w:hAnsi="Courier-PS" w:eastAsia="Courier-PS" w:cs="Courier-PS"/>
    </w:rPr>
  </w:style>
  <w:style w:type="paragraph" w:styleId="para125" w:customStyle="1">
    <w:name w:val="Normal"/>
    <w:qFormat/>
    <w:pPr>
      <w:hyphenationLines w:val="1"/>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Pr>
      <w:rFonts w:ascii="Times New Roman" w:hAnsi="Times New Roman" w:eastAsia="Times New Roman" w:cs="Times New Roman"/>
      <w:sz w:val="24"/>
      <w:lang w:val="ru-ru" w:eastAsia="ru-ru" w:bidi="ar-sa"/>
    </w:rPr>
  </w:style>
  <w:style w:type="paragraph" w:styleId="para126">
    <w:name w:val="Block Text"/>
    <w:qFormat/>
    <w:basedOn w:val="para0"/>
    <w:pPr>
      <w:ind w:left="1440" w:right="1440"/>
      <w:spacing w:before="240" w:after="60"/>
    </w:pPr>
  </w:style>
  <w:style w:type="paragraph" w:styleId="para127" w:customStyle="1">
    <w:name w:val="Text body indent"/>
    <w:qFormat/>
    <w:basedOn w:val="para121"/>
    <w:pPr>
      <w:widowControl/>
      <w:tabs defTabSz="708"/>
    </w:pPr>
    <w:rPr>
      <w:rFonts w:ascii="Times New Roman" w:hAnsi="Times New Roman" w:eastAsia="Times New Roman" w:cs="Times New Roman"/>
      <w:b/>
      <w:bCs/>
      <w:sz w:val="38"/>
      <w:szCs w:val="38"/>
      <w:lang w:eastAsia="zh-cn"/>
    </w:rPr>
  </w:style>
  <w:style w:type="paragraph" w:styleId="para128" w:customStyle="1">
    <w:name w:val="docdata"/>
    <w:qFormat/>
    <w:basedOn w:val="para0"/>
    <w:pPr>
      <w:spacing w:before="100" w:after="100" w:beforeAutospacing="1" w:afterAutospacing="1"/>
      <w:hyphenationLines w:val="1"/>
      <w:widowControl/>
      <w:tabs defTabSz="708"/>
    </w:pPr>
    <w:rPr>
      <w:sz w:val="24"/>
      <w:szCs w:val="24"/>
      <w:lang w:eastAsia="ru-ru"/>
    </w:rPr>
  </w:style>
  <w:style w:type="character" w:styleId="char0" w:default="1">
    <w:name w:val="Default Paragraph Font"/>
  </w:style>
  <w:style w:type="character" w:styleId="char1" w:customStyle="1">
    <w:name w:val="WW8Num2z0"/>
    <w:rPr>
      <w:rFonts w:eastAsia="Times New Roman" w:cs="Times New Roman"/>
    </w:rPr>
  </w:style>
  <w:style w:type="character" w:styleId="char2" w:customStyle="1">
    <w:name w:val="WW8Num3z0"/>
    <w:rPr>
      <w:rFonts w:cs="Times New Roman"/>
    </w:rPr>
  </w:style>
  <w:style w:type="character" w:styleId="char3" w:customStyle="1">
    <w:name w:val="Основной шрифт абзаца4"/>
  </w:style>
  <w:style w:type="character" w:styleId="char4" w:customStyle="1">
    <w:name w:val="Основной шрифт абзаца3"/>
  </w:style>
  <w:style w:type="character" w:styleId="char5" w:customStyle="1">
    <w:name w:val="Основной шрифт абзаца2"/>
  </w:style>
  <w:style w:type="character" w:styleId="char6" w:customStyle="1">
    <w:name w:val="WW8Num1z0"/>
  </w:style>
  <w:style w:type="character" w:styleId="char7" w:customStyle="1">
    <w:name w:val="WW8Num3z1"/>
    <w:rPr>
      <w:rFonts w:cs="Times New Roman"/>
    </w:rPr>
  </w:style>
  <w:style w:type="character" w:styleId="char8" w:customStyle="1">
    <w:name w:val="WW8Num4z0"/>
    <w:rPr>
      <w:rFonts w:ascii="Symbol" w:hAnsi="Symbol" w:cs="Symbol"/>
    </w:rPr>
  </w:style>
  <w:style w:type="character" w:styleId="char9" w:customStyle="1">
    <w:name w:val="WW8Num4z1"/>
    <w:rPr>
      <w:rFonts w:ascii="Courier New" w:hAnsi="Courier New" w:cs="Courier New"/>
    </w:rPr>
  </w:style>
  <w:style w:type="character" w:styleId="char10" w:customStyle="1">
    <w:name w:val="WW8Num4z2"/>
    <w:rPr>
      <w:rFonts w:ascii="Wingdings" w:hAnsi="Wingdings" w:cs="Wingdings"/>
    </w:rPr>
  </w:style>
  <w:style w:type="character" w:styleId="char11" w:customStyle="1">
    <w:name w:val="Основной шрифт абзаца1"/>
  </w:style>
  <w:style w:type="character" w:styleId="char12">
    <w:name w:val="Page Number"/>
  </w:style>
  <w:style w:type="character" w:styleId="char13" w:customStyle="1">
    <w:name w:val="Верхний колонтитул Знак"/>
  </w:style>
  <w:style w:type="character" w:styleId="char14" w:customStyle="1">
    <w:name w:val="Основной текст 2 Знак"/>
  </w:style>
  <w:style w:type="character" w:styleId="char15" w:customStyle="1">
    <w:name w:val="Заголовок 5 Знак"/>
    <w:rPr>
      <w:b/>
    </w:rPr>
  </w:style>
  <w:style w:type="character" w:styleId="char16" w:customStyle="1">
    <w:name w:val="Название Знак"/>
    <w:rPr>
      <w:b/>
      <w:sz w:val="24"/>
    </w:rPr>
  </w:style>
  <w:style w:type="character" w:styleId="char17">
    <w:name w:val="Hyperlink"/>
    <w:rPr>
      <w:color w:val="0000ff"/>
      <w:u w:color="auto" w:val="single"/>
    </w:rPr>
  </w:style>
  <w:style w:type="character" w:styleId="char18" w:customStyle="1">
    <w:name w:val="Основной текст 3 Знак"/>
    <w:rPr>
      <w:sz w:val="28"/>
    </w:rPr>
  </w:style>
  <w:style w:type="character" w:styleId="char19" w:customStyle="1">
    <w:name w:val="Основной текст Знак"/>
    <w:rPr>
      <w:sz w:val="24"/>
      <w:szCs w:val="24"/>
    </w:rPr>
  </w:style>
  <w:style w:type="character" w:styleId="char20" w:customStyle="1">
    <w:name w:val="Подзаголовок Знак"/>
    <w:rPr>
      <w:b/>
      <w:bCs/>
      <w:i/>
      <w:iCs/>
      <w:sz w:val="32"/>
      <w:szCs w:val="24"/>
    </w:rPr>
  </w:style>
  <w:style w:type="character" w:styleId="char21" w:customStyle="1">
    <w:name w:val="Нижний колонтитул Знак"/>
  </w:style>
  <w:style w:type="character" w:styleId="char22" w:customStyle="1">
    <w:name w:val="Основной текст с отступом 2 Знак"/>
    <w:rPr>
      <w:sz w:val="24"/>
      <w:szCs w:val="24"/>
    </w:rPr>
  </w:style>
  <w:style w:type="character" w:styleId="char23" w:customStyle="1">
    <w:name w:val="Font Style21"/>
    <w:rPr>
      <w:rFonts w:ascii="Times New Roman" w:hAnsi="Times New Roman" w:cs="Times New Roman"/>
      <w:sz w:val="24"/>
      <w:szCs w:val="24"/>
    </w:rPr>
  </w:style>
  <w:style w:type="character" w:styleId="char24">
    <w:name w:val="Strong"/>
    <w:rPr>
      <w:b/>
      <w:bCs/>
    </w:rPr>
  </w:style>
  <w:style w:type="character" w:styleId="char25">
    <w:name w:val="Emphasis"/>
    <w:rPr>
      <w:i/>
      <w:iCs/>
    </w:rPr>
  </w:style>
  <w:style w:type="character" w:styleId="char26" w:customStyle="1">
    <w:name w:val="Текст Знак"/>
    <w:rPr>
      <w:rFonts w:ascii="Courier New" w:hAnsi="Courier New" w:cs="Courier New"/>
    </w:rPr>
  </w:style>
  <w:style w:type="character" w:styleId="char27" w:customStyle="1">
    <w:name w:val="apple-converted-space"/>
  </w:style>
  <w:style w:type="character" w:styleId="char28" w:customStyle="1">
    <w:name w:val="apple-style-span"/>
  </w:style>
  <w:style w:type="character" w:styleId="char29" w:customStyle="1">
    <w:name w:val="c4"/>
  </w:style>
  <w:style w:type="character" w:styleId="char30" w:customStyle="1">
    <w:name w:val="Основной текст2"/>
    <w:rPr>
      <w:rFonts w:ascii="Times New Roman" w:hAnsi="Times New Roman" w:eastAsia="Times New Roman" w:cs="Times New Roman"/>
      <w:b w:val="0"/>
      <w:bCs w:val="0"/>
      <w:i w:val="0"/>
      <w:iCs w:val="0"/>
      <w:caps w:val="0"/>
      <w:smallCaps w:val="0"/>
      <w:strike w:val="0"/>
      <w:dstrike w:val="0"/>
      <w:color w:val="000000"/>
      <w:spacing w:val="2" w:percent="102"/>
      <w:w w:val="100"/>
      <w:sz w:val="25"/>
      <w:szCs w:val="25"/>
      <w:u w:color="auto" w:val="none"/>
      <w:shd w:val="clear" w:fill="ffffff"/>
      <w:vertAlign w:val="baseline"/>
      <w:lang w:val="ru-ru"/>
    </w:rPr>
  </w:style>
  <w:style w:type="character" w:styleId="char31" w:customStyle="1">
    <w:name w:val="Основной текст (3)_"/>
    <w:rPr>
      <w:b/>
      <w:bCs/>
      <w:sz w:val="28"/>
      <w:szCs w:val="28"/>
      <w:shd w:val="clear" w:fill="ffffff"/>
    </w:rPr>
  </w:style>
  <w:style w:type="character" w:styleId="char32" w:customStyle="1">
    <w:name w:val="Без интервала Знак"/>
    <w:rPr>
      <w:rFonts w:eastAsia="Calibri"/>
      <w:sz w:val="28"/>
      <w:szCs w:val="24"/>
      <w:lang w:bidi="ar-sa"/>
    </w:rPr>
  </w:style>
  <w:style w:type="character" w:styleId="char33" w:customStyle="1">
    <w:name w:val="blk"/>
  </w:style>
  <w:style w:type="character" w:styleId="char34" w:customStyle="1">
    <w:name w:val="Текст выноски Знак"/>
    <w:rPr>
      <w:rFonts w:ascii="Tahoma" w:hAnsi="Tahoma" w:cs="Tahoma"/>
      <w:sz w:val="16"/>
      <w:szCs w:val="16"/>
    </w:rPr>
  </w:style>
  <w:style w:type="character" w:styleId="char35" w:customStyle="1">
    <w:name w:val="Заголовок 2 Знак"/>
    <w:rPr>
      <w:sz w:val="24"/>
    </w:rPr>
  </w:style>
  <w:style w:type="character" w:styleId="char36" w:customStyle="1">
    <w:name w:val="Стандартный HTML Знак"/>
    <w:rPr>
      <w:rFonts w:ascii="Courier New" w:hAnsi="Courier New" w:cs="Courier New"/>
      <w:lang w:val="en-us"/>
    </w:rPr>
  </w:style>
  <w:style w:type="character" w:styleId="char37" w:customStyle="1">
    <w:name w:val="Заголовок №4_"/>
    <w:rPr>
      <w:rFonts w:ascii="Calibri" w:hAnsi="Calibri" w:cs="Calibri"/>
      <w:spacing w:val="172" w:percent="300"/>
      <w:sz w:val="19"/>
      <w:szCs w:val="19"/>
      <w:shd w:val="clear" w:fill="ffffff"/>
    </w:rPr>
  </w:style>
  <w:style w:type="character" w:styleId="char38" w:customStyle="1">
    <w:name w:val="Знак примечания1"/>
    <w:rPr>
      <w:sz w:val="16"/>
      <w:szCs w:val="16"/>
    </w:rPr>
  </w:style>
  <w:style w:type="character" w:styleId="char39" w:customStyle="1">
    <w:name w:val="Текст примечания Знак"/>
  </w:style>
  <w:style w:type="character" w:styleId="char40" w:customStyle="1">
    <w:name w:val="Тема примечания Знак"/>
    <w:rPr>
      <w:b/>
      <w:bCs/>
    </w:rPr>
  </w:style>
  <w:style w:type="character" w:styleId="char41" w:customStyle="1">
    <w:name w:val="Абзац Знак"/>
    <w:rPr>
      <w:rFonts w:ascii="Arial" w:hAnsi="Arial" w:cs="Arial"/>
      <w:color w:val="000000"/>
      <w:sz w:val="32"/>
      <w:szCs w:val="32"/>
      <w:shd w:val="clear" w:fill="ffffff"/>
    </w:rPr>
  </w:style>
  <w:style w:type="character" w:styleId="char42" w:customStyle="1">
    <w:name w:val="Неразрешенное упоминание1"/>
    <w:rPr>
      <w:color w:val="605e5c"/>
      <w:shd w:val="clear" w:fill="e1dfdd"/>
    </w:rPr>
  </w:style>
  <w:style w:type="character" w:styleId="char43" w:customStyle="1">
    <w:name w:val="d1b3e66892ddc81enormaltextrun"/>
  </w:style>
  <w:style w:type="character" w:styleId="char44" w:customStyle="1">
    <w:name w:val="bbfc84cb473cbf47eop"/>
  </w:style>
  <w:style w:type="character" w:styleId="char45" w:customStyle="1">
    <w:name w:val="ListLabel 1"/>
  </w:style>
  <w:style w:type="character" w:styleId="char46" w:customStyle="1">
    <w:name w:val="ListLabel 2"/>
  </w:style>
  <w:style w:type="character" w:styleId="char47" w:customStyle="1">
    <w:name w:val="ListLabel 3"/>
  </w:style>
  <w:style w:type="character" w:styleId="char48" w:customStyle="1">
    <w:name w:val="ListLabel 4"/>
  </w:style>
  <w:style w:type="character" w:styleId="char49" w:customStyle="1">
    <w:name w:val="ListLabel 5"/>
  </w:style>
  <w:style w:type="character" w:styleId="char50" w:customStyle="1">
    <w:name w:val="ListLabel 6"/>
  </w:style>
  <w:style w:type="character" w:styleId="char51" w:customStyle="1">
    <w:name w:val="ListLabel 7"/>
  </w:style>
  <w:style w:type="character" w:styleId="char52" w:customStyle="1">
    <w:name w:val="ListLabel 8"/>
  </w:style>
  <w:style w:type="character" w:styleId="char53" w:customStyle="1">
    <w:name w:val="ListLabel 9"/>
  </w:style>
  <w:style w:type="character" w:styleId="char54" w:customStyle="1">
    <w:name w:val="ListLabel 28"/>
    <w:rPr>
      <w:color w:val="auto"/>
    </w:rPr>
  </w:style>
  <w:style w:type="character" w:styleId="char55" w:customStyle="1">
    <w:name w:val="ListLabel 29"/>
    <w:rPr>
      <w:rFonts w:cs="Courier New"/>
    </w:rPr>
  </w:style>
  <w:style w:type="character" w:styleId="char56" w:customStyle="1">
    <w:name w:val="ListLabel 30"/>
  </w:style>
  <w:style w:type="character" w:styleId="char57" w:customStyle="1">
    <w:name w:val="ListLabel 31"/>
  </w:style>
  <w:style w:type="character" w:styleId="char58" w:customStyle="1">
    <w:name w:val="ListLabel 32"/>
    <w:rPr>
      <w:rFonts w:cs="Courier New"/>
    </w:rPr>
  </w:style>
  <w:style w:type="character" w:styleId="char59" w:customStyle="1">
    <w:name w:val="ListLabel 33"/>
  </w:style>
  <w:style w:type="character" w:styleId="char60" w:customStyle="1">
    <w:name w:val="ListLabel 34"/>
  </w:style>
  <w:style w:type="character" w:styleId="char61" w:customStyle="1">
    <w:name w:val="ListLabel 35"/>
    <w:rPr>
      <w:rFonts w:cs="Courier New"/>
    </w:rPr>
  </w:style>
  <w:style w:type="character" w:styleId="char62" w:customStyle="1">
    <w:name w:val="ListLabel 36"/>
  </w:style>
  <w:style w:type="character" w:styleId="char63" w:customStyle="1">
    <w:name w:val="ListLabel 10"/>
  </w:style>
  <w:style w:type="character" w:styleId="char64" w:customStyle="1">
    <w:name w:val="ListLabel 11"/>
  </w:style>
  <w:style w:type="character" w:styleId="char65" w:customStyle="1">
    <w:name w:val="ListLabel 12"/>
  </w:style>
  <w:style w:type="character" w:styleId="char66" w:customStyle="1">
    <w:name w:val="ListLabel 13"/>
  </w:style>
  <w:style w:type="character" w:styleId="char67" w:customStyle="1">
    <w:name w:val="ListLabel 14"/>
  </w:style>
  <w:style w:type="character" w:styleId="char68" w:customStyle="1">
    <w:name w:val="ListLabel 15"/>
  </w:style>
  <w:style w:type="character" w:styleId="char69" w:customStyle="1">
    <w:name w:val="ListLabel 16"/>
  </w:style>
  <w:style w:type="character" w:styleId="char70" w:customStyle="1">
    <w:name w:val="ListLabel 17"/>
  </w:style>
  <w:style w:type="character" w:styleId="char71" w:customStyle="1">
    <w:name w:val="ListLabel 18"/>
  </w:style>
  <w:style w:type="character" w:styleId="char72" w:customStyle="1">
    <w:name w:val="ListLabel 146"/>
    <w:rPr>
      <w:rFonts w:cs="Times New Roman"/>
    </w:rPr>
  </w:style>
  <w:style w:type="character" w:styleId="char73" w:customStyle="1">
    <w:name w:val="ListLabel 147"/>
    <w:rPr>
      <w:rFonts w:cs="Times New Roman"/>
    </w:rPr>
  </w:style>
  <w:style w:type="character" w:styleId="char74" w:customStyle="1">
    <w:name w:val="ListLabel 148"/>
    <w:rPr>
      <w:rFonts w:cs="Times New Roman"/>
    </w:rPr>
  </w:style>
  <w:style w:type="character" w:styleId="char75" w:customStyle="1">
    <w:name w:val="ListLabel 149"/>
    <w:rPr>
      <w:rFonts w:cs="Times New Roman"/>
    </w:rPr>
  </w:style>
  <w:style w:type="character" w:styleId="char76" w:customStyle="1">
    <w:name w:val="ListLabel 150"/>
    <w:rPr>
      <w:rFonts w:cs="Times New Roman"/>
    </w:rPr>
  </w:style>
  <w:style w:type="character" w:styleId="char77" w:customStyle="1">
    <w:name w:val="ListLabel 151"/>
    <w:rPr>
      <w:rFonts w:cs="Times New Roman"/>
    </w:rPr>
  </w:style>
  <w:style w:type="character" w:styleId="char78" w:customStyle="1">
    <w:name w:val="ListLabel 152"/>
    <w:rPr>
      <w:rFonts w:cs="Times New Roman"/>
    </w:rPr>
  </w:style>
  <w:style w:type="character" w:styleId="char79" w:customStyle="1">
    <w:name w:val="ListLabel 153"/>
    <w:rPr>
      <w:rFonts w:cs="Times New Roman"/>
    </w:rPr>
  </w:style>
  <w:style w:type="character" w:styleId="char80" w:customStyle="1">
    <w:name w:val="ListLabel 154"/>
    <w:rPr>
      <w:rFonts w:cs="Times New Roman"/>
    </w:rPr>
  </w:style>
  <w:style w:type="character" w:styleId="char81" w:customStyle="1">
    <w:name w:val="Основной текст1"/>
    <w:rPr>
      <w:rFonts w:ascii="Times New Roman" w:hAnsi="Times New Roman" w:eastAsia="Times New Roman" w:cs="Times New Roman"/>
      <w:color w:val="auto"/>
      <w:spacing w:val="0" w:percent="100"/>
      <w:w w:val="100"/>
      <w:shd w:val="clear" w:fill="auto"/>
      <w:vertAlign w:val="baseline"/>
      <w:lang w:val="ru-ru"/>
    </w:rPr>
  </w:style>
  <w:style w:type="character" w:styleId="char82" w:customStyle="1">
    <w:name w:val="Привязка сноски"/>
    <w:rPr>
      <w:vertAlign w:val="baseline"/>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yperlink" Target="https://vk.com/anzherobussines"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hyperlink" Target="http://ancbs.ucoz.ru/&quot;" TargetMode="External"/><Relationship Id="rId14" Type="http://schemas.openxmlformats.org/officeDocument/2006/relationships/header" Target="header3.xml"/><Relationship Id="rId1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rev.1215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ОТЧЁТ О РАБОТЕ АДМИНИСТРАЦИИ ГОРОДА АНЖЕРО-СУДЖЕНСКА ЗА 2006 ГОД</dc:title>
  <dc:subject/>
  <dc:creator>Чигряй</dc:creator>
  <cp:keywords/>
  <dc:description/>
  <cp:lastModifiedBy>Екатерина</cp:lastModifiedBy>
  <cp:revision>141</cp:revision>
  <cp:lastPrinted>2026-04-30T05:15:18Z</cp:lastPrinted>
  <dcterms:created xsi:type="dcterms:W3CDTF">2024-10-29T08:51:00Z</dcterms:created>
  <dcterms:modified xsi:type="dcterms:W3CDTF">2026-06-10T03:08:22Z</dcterms:modified>
</cp:coreProperties>
</file>